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topLinePunct/>
        <w:rPr>
          <w:color w:val="auto"/>
        </w:rPr>
      </w:pPr>
      <w:r>
        <w:rPr>
          <w:color w:val="auto"/>
        </w:rPr>
        <w:t>建设工程基本情况</w:t>
      </w:r>
    </w:p>
    <w:tbl>
      <w:tblPr>
        <w:tblStyle w:val="39"/>
        <w:tblW w:w="869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618"/>
        <w:gridCol w:w="1306"/>
        <w:gridCol w:w="200"/>
        <w:gridCol w:w="1339"/>
        <w:gridCol w:w="1701"/>
        <w:gridCol w:w="1784"/>
        <w:gridCol w:w="7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工程名称</w:t>
            </w:r>
          </w:p>
        </w:tc>
        <w:tc>
          <w:tcPr>
            <w:tcW w:w="7079" w:type="dxa"/>
            <w:gridSpan w:val="6"/>
            <w:vAlign w:val="center"/>
          </w:tcPr>
          <w:p>
            <w:pPr>
              <w:pStyle w:val="57"/>
              <w:topLinePunct/>
              <w:rPr>
                <w:color w:val="auto"/>
                <w:sz w:val="24"/>
                <w:szCs w:val="24"/>
              </w:rPr>
            </w:pPr>
            <w:r>
              <w:rPr>
                <w:rFonts w:hint="eastAsia"/>
                <w:color w:val="auto"/>
                <w:sz w:val="24"/>
                <w:szCs w:val="24"/>
              </w:rPr>
              <w:t>连州市镇（乡）镇区自来水厂改造及水源地保护工程（一期）连州市西江镇区供水工程建设项目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建设单位</w:t>
            </w:r>
          </w:p>
        </w:tc>
        <w:tc>
          <w:tcPr>
            <w:tcW w:w="7079" w:type="dxa"/>
            <w:gridSpan w:val="6"/>
            <w:vAlign w:val="center"/>
          </w:tcPr>
          <w:p>
            <w:pPr>
              <w:pStyle w:val="57"/>
              <w:rPr>
                <w:color w:val="auto"/>
                <w:sz w:val="24"/>
                <w:szCs w:val="24"/>
              </w:rPr>
            </w:pPr>
            <w:r>
              <w:rPr>
                <w:rFonts w:hint="eastAsia"/>
                <w:color w:val="auto"/>
                <w:sz w:val="24"/>
                <w:szCs w:val="24"/>
              </w:rPr>
              <w:t>连州市水务工程建设管理中心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法人代表</w:t>
            </w:r>
          </w:p>
        </w:tc>
        <w:tc>
          <w:tcPr>
            <w:tcW w:w="2845" w:type="dxa"/>
            <w:gridSpan w:val="3"/>
            <w:vAlign w:val="center"/>
          </w:tcPr>
          <w:p>
            <w:pPr>
              <w:pStyle w:val="57"/>
              <w:rPr>
                <w:color w:val="auto"/>
                <w:sz w:val="24"/>
                <w:szCs w:val="24"/>
              </w:rPr>
            </w:pPr>
            <w:r>
              <w:rPr>
                <w:rFonts w:hint="eastAsia"/>
                <w:color w:val="auto"/>
                <w:sz w:val="24"/>
                <w:szCs w:val="24"/>
              </w:rPr>
              <w:t>文成禄</w:t>
            </w:r>
          </w:p>
        </w:tc>
        <w:tc>
          <w:tcPr>
            <w:tcW w:w="1701" w:type="dxa"/>
            <w:vAlign w:val="center"/>
          </w:tcPr>
          <w:p>
            <w:pPr>
              <w:pStyle w:val="57"/>
              <w:rPr>
                <w:color w:val="auto"/>
                <w:sz w:val="24"/>
                <w:szCs w:val="24"/>
              </w:rPr>
            </w:pPr>
            <w:r>
              <w:rPr>
                <w:color w:val="auto"/>
                <w:sz w:val="24"/>
                <w:szCs w:val="24"/>
              </w:rPr>
              <w:t>联系人</w:t>
            </w:r>
          </w:p>
        </w:tc>
        <w:tc>
          <w:tcPr>
            <w:tcW w:w="2533" w:type="dxa"/>
            <w:gridSpan w:val="2"/>
            <w:vAlign w:val="center"/>
          </w:tcPr>
          <w:p>
            <w:pPr>
              <w:pStyle w:val="57"/>
              <w:rPr>
                <w:rFonts w:hint="eastAsia" w:eastAsia="宋体"/>
                <w:color w:val="auto"/>
                <w:sz w:val="24"/>
                <w:szCs w:val="24"/>
                <w:lang w:eastAsia="zh-CN"/>
              </w:rPr>
            </w:pPr>
            <w:r>
              <w:rPr>
                <w:rFonts w:hint="eastAsia"/>
                <w:color w:val="auto"/>
                <w:sz w:val="24"/>
                <w:szCs w:val="24"/>
                <w:lang w:eastAsia="zh-CN"/>
              </w:rPr>
              <w:t>李雅博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通讯地址</w:t>
            </w:r>
          </w:p>
        </w:tc>
        <w:tc>
          <w:tcPr>
            <w:tcW w:w="7079" w:type="dxa"/>
            <w:gridSpan w:val="6"/>
            <w:vAlign w:val="center"/>
          </w:tcPr>
          <w:p>
            <w:pPr>
              <w:pStyle w:val="57"/>
              <w:rPr>
                <w:color w:val="auto"/>
                <w:sz w:val="24"/>
                <w:szCs w:val="24"/>
              </w:rPr>
            </w:pPr>
            <w:r>
              <w:rPr>
                <w:rFonts w:hint="eastAsia"/>
                <w:color w:val="auto"/>
                <w:sz w:val="24"/>
                <w:szCs w:val="24"/>
              </w:rPr>
              <w:t>广东省连州市西兴南路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联系电话</w:t>
            </w:r>
          </w:p>
        </w:tc>
        <w:tc>
          <w:tcPr>
            <w:tcW w:w="1506" w:type="dxa"/>
            <w:gridSpan w:val="2"/>
            <w:vAlign w:val="center"/>
          </w:tcPr>
          <w:p>
            <w:pPr>
              <w:pStyle w:val="57"/>
              <w:rPr>
                <w:color w:val="auto"/>
                <w:sz w:val="24"/>
                <w:szCs w:val="24"/>
              </w:rPr>
            </w:pPr>
            <w:r>
              <w:rPr>
                <w:rFonts w:hint="eastAsia"/>
                <w:color w:val="auto"/>
                <w:sz w:val="24"/>
                <w:szCs w:val="24"/>
              </w:rPr>
              <w:t>13602927751</w:t>
            </w:r>
          </w:p>
        </w:tc>
        <w:tc>
          <w:tcPr>
            <w:tcW w:w="1339" w:type="dxa"/>
            <w:vAlign w:val="center"/>
          </w:tcPr>
          <w:p>
            <w:pPr>
              <w:pStyle w:val="57"/>
              <w:rPr>
                <w:color w:val="auto"/>
                <w:sz w:val="24"/>
                <w:szCs w:val="24"/>
              </w:rPr>
            </w:pPr>
            <w:r>
              <w:rPr>
                <w:color w:val="auto"/>
                <w:sz w:val="24"/>
                <w:szCs w:val="24"/>
              </w:rPr>
              <w:t>传真</w:t>
            </w:r>
          </w:p>
        </w:tc>
        <w:tc>
          <w:tcPr>
            <w:tcW w:w="1701" w:type="dxa"/>
            <w:vAlign w:val="center"/>
          </w:tcPr>
          <w:p>
            <w:pPr>
              <w:pStyle w:val="57"/>
              <w:rPr>
                <w:color w:val="auto"/>
                <w:sz w:val="24"/>
                <w:szCs w:val="24"/>
              </w:rPr>
            </w:pPr>
            <w:r>
              <w:rPr>
                <w:color w:val="auto"/>
                <w:sz w:val="24"/>
                <w:szCs w:val="24"/>
              </w:rPr>
              <w:t>/</w:t>
            </w:r>
          </w:p>
        </w:tc>
        <w:tc>
          <w:tcPr>
            <w:tcW w:w="1784" w:type="dxa"/>
            <w:vAlign w:val="center"/>
          </w:tcPr>
          <w:p>
            <w:pPr>
              <w:pStyle w:val="57"/>
              <w:rPr>
                <w:color w:val="auto"/>
                <w:sz w:val="24"/>
                <w:szCs w:val="24"/>
              </w:rPr>
            </w:pPr>
            <w:r>
              <w:rPr>
                <w:color w:val="auto"/>
                <w:sz w:val="24"/>
                <w:szCs w:val="24"/>
              </w:rPr>
              <w:t>邮政编码</w:t>
            </w:r>
          </w:p>
        </w:tc>
        <w:tc>
          <w:tcPr>
            <w:tcW w:w="749" w:type="dxa"/>
            <w:vAlign w:val="center"/>
          </w:tcPr>
          <w:p>
            <w:pPr>
              <w:pStyle w:val="57"/>
              <w:rPr>
                <w:color w:val="auto"/>
                <w:sz w:val="24"/>
                <w:szCs w:val="24"/>
              </w:rPr>
            </w:pPr>
            <w:r>
              <w:rPr>
                <w:color w:val="auto"/>
                <w:sz w:val="24"/>
                <w:szCs w:val="24"/>
              </w:rPr>
              <w:t>513400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建设地点</w:t>
            </w:r>
          </w:p>
        </w:tc>
        <w:tc>
          <w:tcPr>
            <w:tcW w:w="7079" w:type="dxa"/>
            <w:gridSpan w:val="6"/>
            <w:vAlign w:val="center"/>
          </w:tcPr>
          <w:p>
            <w:pPr>
              <w:pStyle w:val="57"/>
              <w:rPr>
                <w:color w:val="auto"/>
                <w:sz w:val="24"/>
                <w:szCs w:val="24"/>
              </w:rPr>
            </w:pPr>
            <w:r>
              <w:rPr>
                <w:rFonts w:hint="eastAsia"/>
                <w:color w:val="auto"/>
                <w:sz w:val="24"/>
                <w:szCs w:val="24"/>
              </w:rPr>
              <w:t>连州市西江镇区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立项审批部门</w:t>
            </w:r>
          </w:p>
        </w:tc>
        <w:tc>
          <w:tcPr>
            <w:tcW w:w="2845" w:type="dxa"/>
            <w:gridSpan w:val="3"/>
            <w:vAlign w:val="center"/>
          </w:tcPr>
          <w:p>
            <w:pPr>
              <w:pStyle w:val="57"/>
              <w:rPr>
                <w:color w:val="auto"/>
                <w:sz w:val="24"/>
                <w:szCs w:val="24"/>
              </w:rPr>
            </w:pPr>
            <w:r>
              <w:rPr>
                <w:rFonts w:hint="eastAsia"/>
                <w:color w:val="auto"/>
                <w:sz w:val="24"/>
                <w:szCs w:val="24"/>
              </w:rPr>
              <w:t>/</w:t>
            </w:r>
          </w:p>
        </w:tc>
        <w:tc>
          <w:tcPr>
            <w:tcW w:w="1701" w:type="dxa"/>
            <w:vAlign w:val="center"/>
          </w:tcPr>
          <w:p>
            <w:pPr>
              <w:pStyle w:val="57"/>
              <w:rPr>
                <w:color w:val="auto"/>
                <w:sz w:val="24"/>
                <w:szCs w:val="24"/>
              </w:rPr>
            </w:pPr>
            <w:r>
              <w:rPr>
                <w:color w:val="auto"/>
                <w:sz w:val="24"/>
                <w:szCs w:val="24"/>
              </w:rPr>
              <w:t>备案文号</w:t>
            </w:r>
          </w:p>
        </w:tc>
        <w:tc>
          <w:tcPr>
            <w:tcW w:w="2533" w:type="dxa"/>
            <w:gridSpan w:val="2"/>
            <w:vAlign w:val="center"/>
          </w:tcPr>
          <w:p>
            <w:pPr>
              <w:pStyle w:val="57"/>
              <w:rPr>
                <w:color w:val="auto"/>
                <w:sz w:val="24"/>
                <w:szCs w:val="24"/>
              </w:rPr>
            </w:pPr>
            <w:r>
              <w:rPr>
                <w:rFonts w:hint="eastAsia"/>
                <w:color w:val="auto"/>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建设性质</w:t>
            </w:r>
          </w:p>
        </w:tc>
        <w:tc>
          <w:tcPr>
            <w:tcW w:w="2845" w:type="dxa"/>
            <w:gridSpan w:val="3"/>
            <w:vAlign w:val="center"/>
          </w:tcPr>
          <w:p>
            <w:pPr>
              <w:pStyle w:val="57"/>
              <w:topLinePunct/>
              <w:rPr>
                <w:color w:val="auto"/>
                <w:sz w:val="24"/>
                <w:szCs w:val="24"/>
              </w:rPr>
            </w:pPr>
            <w:r>
              <w:rPr>
                <w:rFonts w:hint="eastAsia"/>
                <w:color w:val="auto"/>
                <w:sz w:val="24"/>
                <w:szCs w:val="24"/>
              </w:rPr>
              <w:sym w:font="Wingdings 2" w:char="0052"/>
            </w:r>
            <w:r>
              <w:rPr>
                <w:color w:val="auto"/>
                <w:sz w:val="24"/>
                <w:szCs w:val="24"/>
              </w:rPr>
              <w:t>新建</w:t>
            </w:r>
            <w:r>
              <w:rPr>
                <w:rFonts w:hint="eastAsia"/>
                <w:color w:val="auto"/>
                <w:sz w:val="24"/>
                <w:szCs w:val="24"/>
              </w:rPr>
              <w:t xml:space="preserve"> □</w:t>
            </w:r>
            <w:r>
              <w:rPr>
                <w:color w:val="auto"/>
                <w:sz w:val="24"/>
                <w:szCs w:val="24"/>
              </w:rPr>
              <w:t>改扩建</w:t>
            </w:r>
            <w:r>
              <w:rPr>
                <w:rFonts w:hint="eastAsia"/>
                <w:color w:val="auto"/>
                <w:sz w:val="24"/>
                <w:szCs w:val="24"/>
              </w:rPr>
              <w:t xml:space="preserve"> □</w:t>
            </w:r>
            <w:r>
              <w:rPr>
                <w:color w:val="auto"/>
                <w:sz w:val="24"/>
                <w:szCs w:val="24"/>
              </w:rPr>
              <w:t>技改</w:t>
            </w:r>
          </w:p>
        </w:tc>
        <w:tc>
          <w:tcPr>
            <w:tcW w:w="1701" w:type="dxa"/>
            <w:vAlign w:val="center"/>
          </w:tcPr>
          <w:p>
            <w:pPr>
              <w:pStyle w:val="57"/>
              <w:topLinePunct/>
              <w:rPr>
                <w:color w:val="auto"/>
                <w:sz w:val="24"/>
                <w:szCs w:val="24"/>
              </w:rPr>
            </w:pPr>
            <w:r>
              <w:rPr>
                <w:color w:val="auto"/>
                <w:sz w:val="24"/>
                <w:szCs w:val="24"/>
              </w:rPr>
              <w:t>行业类别及代码</w:t>
            </w:r>
          </w:p>
        </w:tc>
        <w:tc>
          <w:tcPr>
            <w:tcW w:w="2533" w:type="dxa"/>
            <w:gridSpan w:val="2"/>
            <w:vAlign w:val="center"/>
          </w:tcPr>
          <w:p>
            <w:pPr>
              <w:pStyle w:val="57"/>
              <w:rPr>
                <w:color w:val="auto"/>
                <w:sz w:val="24"/>
                <w:szCs w:val="24"/>
              </w:rPr>
            </w:pPr>
            <w:r>
              <w:rPr>
                <w:rFonts w:hint="eastAsia"/>
                <w:color w:val="auto"/>
                <w:sz w:val="24"/>
                <w:szCs w:val="24"/>
              </w:rPr>
              <w:t>D4610自来水的生产和供应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占地面积</w:t>
            </w:r>
          </w:p>
          <w:p>
            <w:pPr>
              <w:pStyle w:val="57"/>
              <w:topLinePunct/>
              <w:rPr>
                <w:color w:val="auto"/>
                <w:sz w:val="24"/>
                <w:szCs w:val="24"/>
              </w:rPr>
            </w:pPr>
            <w:r>
              <w:rPr>
                <w:color w:val="auto"/>
                <w:sz w:val="24"/>
                <w:szCs w:val="24"/>
              </w:rPr>
              <w:t>（平方米）</w:t>
            </w:r>
          </w:p>
        </w:tc>
        <w:tc>
          <w:tcPr>
            <w:tcW w:w="2845" w:type="dxa"/>
            <w:gridSpan w:val="3"/>
            <w:vAlign w:val="center"/>
          </w:tcPr>
          <w:p>
            <w:pPr>
              <w:pStyle w:val="57"/>
              <w:topLinePunct/>
              <w:rPr>
                <w:rFonts w:hint="default" w:eastAsia="宋体"/>
                <w:color w:val="auto"/>
                <w:sz w:val="24"/>
                <w:szCs w:val="24"/>
                <w:lang w:val="en-US" w:eastAsia="zh-CN"/>
              </w:rPr>
            </w:pPr>
            <w:r>
              <w:rPr>
                <w:rFonts w:hint="eastAsia"/>
                <w:color w:val="auto"/>
                <w:sz w:val="24"/>
                <w:szCs w:val="24"/>
                <w:lang w:val="en-US" w:eastAsia="zh-CN"/>
              </w:rPr>
              <w:t>360</w:t>
            </w:r>
          </w:p>
        </w:tc>
        <w:tc>
          <w:tcPr>
            <w:tcW w:w="1701" w:type="dxa"/>
            <w:vAlign w:val="center"/>
          </w:tcPr>
          <w:p>
            <w:pPr>
              <w:pStyle w:val="57"/>
              <w:topLinePunct/>
              <w:rPr>
                <w:color w:val="auto"/>
                <w:sz w:val="24"/>
                <w:szCs w:val="24"/>
              </w:rPr>
            </w:pPr>
            <w:r>
              <w:rPr>
                <w:color w:val="auto"/>
                <w:sz w:val="24"/>
                <w:szCs w:val="24"/>
              </w:rPr>
              <w:t>绿化面积</w:t>
            </w:r>
          </w:p>
          <w:p>
            <w:pPr>
              <w:pStyle w:val="57"/>
              <w:topLinePunct/>
              <w:rPr>
                <w:color w:val="auto"/>
                <w:sz w:val="24"/>
                <w:szCs w:val="24"/>
              </w:rPr>
            </w:pPr>
            <w:r>
              <w:rPr>
                <w:color w:val="auto"/>
                <w:sz w:val="24"/>
                <w:szCs w:val="24"/>
              </w:rPr>
              <w:t>（平方米）</w:t>
            </w:r>
          </w:p>
        </w:tc>
        <w:tc>
          <w:tcPr>
            <w:tcW w:w="2533" w:type="dxa"/>
            <w:gridSpan w:val="2"/>
            <w:vAlign w:val="center"/>
          </w:tcPr>
          <w:p>
            <w:pPr>
              <w:pStyle w:val="57"/>
              <w:topLinePunct/>
              <w:rPr>
                <w:color w:val="auto"/>
                <w:sz w:val="24"/>
                <w:szCs w:val="24"/>
              </w:rPr>
            </w:pPr>
            <w:r>
              <w:rPr>
                <w:rFonts w:hint="eastAsia"/>
                <w:color w:val="auto"/>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总投资</w:t>
            </w:r>
          </w:p>
          <w:p>
            <w:pPr>
              <w:pStyle w:val="57"/>
              <w:topLinePunct/>
              <w:rPr>
                <w:color w:val="auto"/>
                <w:sz w:val="24"/>
                <w:szCs w:val="24"/>
              </w:rPr>
            </w:pPr>
            <w:r>
              <w:rPr>
                <w:color w:val="auto"/>
                <w:sz w:val="24"/>
                <w:szCs w:val="24"/>
              </w:rPr>
              <w:t>（万元）</w:t>
            </w:r>
          </w:p>
        </w:tc>
        <w:tc>
          <w:tcPr>
            <w:tcW w:w="1306" w:type="dxa"/>
            <w:vAlign w:val="center"/>
          </w:tcPr>
          <w:p>
            <w:pPr>
              <w:pStyle w:val="57"/>
              <w:topLinePunct/>
              <w:rPr>
                <w:color w:val="auto"/>
                <w:sz w:val="24"/>
                <w:szCs w:val="24"/>
              </w:rPr>
            </w:pPr>
            <w:r>
              <w:rPr>
                <w:rFonts w:hint="eastAsia"/>
                <w:color w:val="auto"/>
                <w:sz w:val="24"/>
                <w:szCs w:val="24"/>
              </w:rPr>
              <w:t>2336.71</w:t>
            </w:r>
          </w:p>
        </w:tc>
        <w:tc>
          <w:tcPr>
            <w:tcW w:w="1539" w:type="dxa"/>
            <w:gridSpan w:val="2"/>
            <w:vAlign w:val="center"/>
          </w:tcPr>
          <w:p>
            <w:pPr>
              <w:pStyle w:val="57"/>
              <w:topLinePunct/>
              <w:rPr>
                <w:color w:val="auto"/>
                <w:sz w:val="24"/>
                <w:szCs w:val="24"/>
              </w:rPr>
            </w:pPr>
            <w:r>
              <w:rPr>
                <w:color w:val="auto"/>
                <w:sz w:val="24"/>
                <w:szCs w:val="24"/>
              </w:rPr>
              <w:t>其中：环保投资（万元）</w:t>
            </w:r>
          </w:p>
        </w:tc>
        <w:tc>
          <w:tcPr>
            <w:tcW w:w="1701" w:type="dxa"/>
            <w:vAlign w:val="center"/>
          </w:tcPr>
          <w:p>
            <w:pPr>
              <w:pStyle w:val="57"/>
              <w:topLinePunct/>
              <w:rPr>
                <w:rFonts w:hint="default" w:eastAsia="宋体"/>
                <w:color w:val="auto"/>
                <w:sz w:val="24"/>
                <w:szCs w:val="24"/>
                <w:lang w:val="en-US" w:eastAsia="zh-CN"/>
              </w:rPr>
            </w:pPr>
            <w:r>
              <w:rPr>
                <w:rFonts w:hint="eastAsia"/>
                <w:color w:val="auto"/>
                <w:sz w:val="24"/>
                <w:szCs w:val="24"/>
                <w:lang w:val="en-US" w:eastAsia="zh-CN"/>
              </w:rPr>
              <w:t>11.12</w:t>
            </w:r>
          </w:p>
        </w:tc>
        <w:tc>
          <w:tcPr>
            <w:tcW w:w="1784" w:type="dxa"/>
            <w:vAlign w:val="center"/>
          </w:tcPr>
          <w:p>
            <w:pPr>
              <w:pStyle w:val="57"/>
              <w:topLinePunct/>
              <w:rPr>
                <w:color w:val="auto"/>
                <w:sz w:val="24"/>
                <w:szCs w:val="24"/>
              </w:rPr>
            </w:pPr>
            <w:r>
              <w:rPr>
                <w:color w:val="auto"/>
                <w:sz w:val="24"/>
                <w:szCs w:val="24"/>
              </w:rPr>
              <w:t>环保投资占总投资比例</w:t>
            </w:r>
          </w:p>
        </w:tc>
        <w:tc>
          <w:tcPr>
            <w:tcW w:w="749" w:type="dxa"/>
            <w:vAlign w:val="center"/>
          </w:tcPr>
          <w:p>
            <w:pPr>
              <w:pStyle w:val="57"/>
              <w:topLinePunct/>
              <w:rPr>
                <w:color w:val="auto"/>
                <w:sz w:val="24"/>
                <w:szCs w:val="24"/>
              </w:rPr>
            </w:pPr>
            <w:r>
              <w:rPr>
                <w:rFonts w:hint="eastAsia"/>
                <w:color w:val="auto"/>
                <w:sz w:val="24"/>
                <w:szCs w:val="24"/>
              </w:rPr>
              <w:t>0.</w:t>
            </w:r>
            <w:r>
              <w:rPr>
                <w:rFonts w:hint="eastAsia"/>
                <w:color w:val="auto"/>
                <w:sz w:val="24"/>
                <w:szCs w:val="24"/>
                <w:lang w:val="en-US" w:eastAsia="zh-CN"/>
              </w:rPr>
              <w:t>48</w:t>
            </w:r>
            <w:r>
              <w:rPr>
                <w:color w:val="auto"/>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1618" w:type="dxa"/>
            <w:vAlign w:val="center"/>
          </w:tcPr>
          <w:p>
            <w:pPr>
              <w:pStyle w:val="57"/>
              <w:topLinePunct/>
              <w:rPr>
                <w:color w:val="auto"/>
                <w:sz w:val="24"/>
                <w:szCs w:val="24"/>
              </w:rPr>
            </w:pPr>
            <w:r>
              <w:rPr>
                <w:color w:val="auto"/>
                <w:sz w:val="24"/>
                <w:szCs w:val="24"/>
              </w:rPr>
              <w:t>评价经费</w:t>
            </w:r>
          </w:p>
        </w:tc>
        <w:tc>
          <w:tcPr>
            <w:tcW w:w="1306" w:type="dxa"/>
            <w:vAlign w:val="center"/>
          </w:tcPr>
          <w:p>
            <w:pPr>
              <w:pStyle w:val="57"/>
              <w:topLinePunct/>
              <w:rPr>
                <w:color w:val="auto"/>
                <w:sz w:val="24"/>
                <w:szCs w:val="24"/>
              </w:rPr>
            </w:pPr>
            <w:r>
              <w:rPr>
                <w:color w:val="auto"/>
                <w:sz w:val="24"/>
                <w:szCs w:val="24"/>
              </w:rPr>
              <w:t>/</w:t>
            </w:r>
          </w:p>
        </w:tc>
        <w:tc>
          <w:tcPr>
            <w:tcW w:w="1539" w:type="dxa"/>
            <w:gridSpan w:val="2"/>
            <w:vAlign w:val="center"/>
          </w:tcPr>
          <w:p>
            <w:pPr>
              <w:pStyle w:val="57"/>
              <w:topLinePunct/>
              <w:rPr>
                <w:color w:val="auto"/>
                <w:sz w:val="24"/>
                <w:szCs w:val="24"/>
              </w:rPr>
            </w:pPr>
            <w:r>
              <w:rPr>
                <w:color w:val="auto"/>
                <w:sz w:val="24"/>
                <w:szCs w:val="24"/>
              </w:rPr>
              <w:t>预计投产日期</w:t>
            </w:r>
          </w:p>
        </w:tc>
        <w:tc>
          <w:tcPr>
            <w:tcW w:w="4234" w:type="dxa"/>
            <w:gridSpan w:val="3"/>
            <w:vAlign w:val="center"/>
          </w:tcPr>
          <w:p>
            <w:pPr>
              <w:pStyle w:val="57"/>
              <w:topLinePunct/>
              <w:rPr>
                <w:color w:val="auto"/>
                <w:sz w:val="24"/>
                <w:szCs w:val="24"/>
              </w:rPr>
            </w:pPr>
            <w:r>
              <w:rPr>
                <w:color w:val="auto"/>
                <w:sz w:val="24"/>
                <w:szCs w:val="24"/>
              </w:rPr>
              <w:t>20</w:t>
            </w:r>
            <w:r>
              <w:rPr>
                <w:rFonts w:hint="eastAsia"/>
                <w:color w:val="auto"/>
                <w:sz w:val="24"/>
                <w:szCs w:val="24"/>
              </w:rPr>
              <w:t>21</w:t>
            </w:r>
            <w:r>
              <w:rPr>
                <w:color w:val="auto"/>
                <w:sz w:val="24"/>
                <w:szCs w:val="24"/>
              </w:rPr>
              <w:t>年</w:t>
            </w:r>
            <w:r>
              <w:rPr>
                <w:rFonts w:hint="eastAsia"/>
                <w:color w:val="auto"/>
                <w:sz w:val="24"/>
                <w:szCs w:val="24"/>
                <w:lang w:val="en-US" w:eastAsia="zh-CN"/>
              </w:rPr>
              <w:t>7</w:t>
            </w:r>
            <w:r>
              <w:rPr>
                <w:color w:val="auto"/>
                <w:sz w:val="24"/>
                <w:szCs w:val="24"/>
              </w:rPr>
              <w:t>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gridSpan w:val="7"/>
            <w:vAlign w:val="center"/>
          </w:tcPr>
          <w:p>
            <w:pPr>
              <w:pStyle w:val="54"/>
              <w:rPr>
                <w:color w:val="auto"/>
              </w:rPr>
            </w:pPr>
            <w:r>
              <w:rPr>
                <w:color w:val="auto"/>
              </w:rPr>
              <w:t>工程由来</w:t>
            </w:r>
          </w:p>
          <w:p>
            <w:pPr>
              <w:ind w:firstLine="480"/>
              <w:rPr>
                <w:color w:val="auto"/>
              </w:rPr>
            </w:pPr>
            <w:r>
              <w:rPr>
                <w:rFonts w:hint="eastAsia"/>
                <w:color w:val="auto"/>
              </w:rPr>
              <w:t>近年来</w:t>
            </w:r>
            <w:r>
              <w:rPr>
                <w:rFonts w:hint="eastAsia"/>
                <w:color w:val="auto"/>
                <w:lang w:eastAsia="zh-CN"/>
              </w:rPr>
              <w:t>西江镇</w:t>
            </w:r>
            <w:r>
              <w:rPr>
                <w:rFonts w:hint="eastAsia"/>
                <w:color w:val="auto"/>
              </w:rPr>
              <w:t>镇政府高度重视经济发展，充分利用特有的资源优势，大力推进招商引资力度，引进了多家厂矿企业，发展资源型经济，使得全镇经济得到了快速发展。</w:t>
            </w:r>
            <w:r>
              <w:rPr>
                <w:rFonts w:hint="eastAsia"/>
                <w:color w:val="auto"/>
                <w:lang w:eastAsia="zh-CN"/>
              </w:rPr>
              <w:t>但是</w:t>
            </w:r>
            <w:r>
              <w:rPr>
                <w:rFonts w:hint="eastAsia"/>
                <w:color w:val="auto"/>
              </w:rPr>
              <w:t>由于</w:t>
            </w:r>
            <w:r>
              <w:rPr>
                <w:rFonts w:hint="eastAsia"/>
                <w:color w:val="auto"/>
                <w:lang w:eastAsia="zh-CN"/>
              </w:rPr>
              <w:t>西江镇区自来水缺乏</w:t>
            </w:r>
            <w:r>
              <w:rPr>
                <w:rFonts w:hint="eastAsia"/>
                <w:color w:val="auto"/>
              </w:rPr>
              <w:t>，工业</w:t>
            </w:r>
            <w:r>
              <w:rPr>
                <w:rFonts w:hint="eastAsia"/>
                <w:color w:val="auto"/>
                <w:lang w:eastAsia="zh-CN"/>
              </w:rPr>
              <w:t>的发展</w:t>
            </w:r>
            <w:r>
              <w:rPr>
                <w:rFonts w:hint="eastAsia"/>
                <w:color w:val="auto"/>
              </w:rPr>
              <w:t>受到制约，</w:t>
            </w:r>
            <w:r>
              <w:rPr>
                <w:rFonts w:hint="eastAsia"/>
                <w:color w:val="auto"/>
                <w:lang w:eastAsia="zh-CN"/>
              </w:rPr>
              <w:t>西江镇</w:t>
            </w:r>
            <w:r>
              <w:rPr>
                <w:rFonts w:hint="eastAsia"/>
                <w:color w:val="auto"/>
              </w:rPr>
              <w:t>一直开发不起来，引进的厂矿企业无法开展。没有水，工业开发就没有保障，无法启动。</w:t>
            </w:r>
          </w:p>
          <w:p>
            <w:pPr>
              <w:ind w:firstLine="480"/>
              <w:rPr>
                <w:color w:val="auto"/>
              </w:rPr>
            </w:pPr>
            <w:r>
              <w:rPr>
                <w:rFonts w:hint="eastAsia"/>
                <w:color w:val="auto"/>
              </w:rPr>
              <w:t>由于</w:t>
            </w:r>
            <w:r>
              <w:rPr>
                <w:rFonts w:hint="eastAsia"/>
                <w:color w:val="auto"/>
                <w:lang w:eastAsia="zh-CN"/>
              </w:rPr>
              <w:t>引进了多家企业，因此</w:t>
            </w:r>
            <w:r>
              <w:rPr>
                <w:rFonts w:hint="eastAsia"/>
                <w:color w:val="auto"/>
              </w:rPr>
              <w:t>企业用水大量增加，以及人民群众对饮水水源和水质的要求进一步提高，分散的小规模供水方式已越来越不适应经济的发展，更不能满足人民群众的对水量与水质的用水需求，为了解决这一难题，连州市水务工程建设管理中心决定在</w:t>
            </w:r>
            <w:r>
              <w:rPr>
                <w:rFonts w:hint="eastAsia"/>
                <w:color w:val="auto"/>
                <w:lang w:eastAsia="zh-CN"/>
              </w:rPr>
              <w:t>连州市西江镇区</w:t>
            </w:r>
            <w:r>
              <w:rPr>
                <w:rFonts w:hint="eastAsia"/>
                <w:color w:val="auto"/>
              </w:rPr>
              <w:t>投资建设“连州市镇（乡）镇区自来水厂改</w:t>
            </w:r>
            <w:r>
              <w:rPr>
                <w:rFonts w:hint="eastAsia"/>
                <w:color w:val="auto"/>
                <w:lang w:val="en-US" w:eastAsia="zh-CN"/>
              </w:rPr>
              <w:t xml:space="preserve"> </w:t>
            </w:r>
            <w:r>
              <w:rPr>
                <w:rFonts w:hint="eastAsia"/>
                <w:color w:val="auto"/>
              </w:rPr>
              <w:t>造及水源地保护工程（一期）连州市西江镇区供水工程建设项目”。</w:t>
            </w:r>
          </w:p>
          <w:p>
            <w:pPr>
              <w:widowControl/>
              <w:ind w:firstLine="480"/>
              <w:jc w:val="left"/>
              <w:rPr>
                <w:color w:val="auto"/>
              </w:rPr>
            </w:pPr>
            <w:r>
              <w:rPr>
                <w:rFonts w:hint="eastAsia"/>
                <w:color w:val="auto"/>
                <w:lang w:eastAsia="zh-CN"/>
              </w:rPr>
              <w:t>因此，西江镇</w:t>
            </w:r>
            <w:r>
              <w:rPr>
                <w:rFonts w:hint="eastAsia"/>
                <w:color w:val="auto"/>
              </w:rPr>
              <w:t>镇政府决定，扩大镇区自来水厂供水水源及配套改造供水管网</w:t>
            </w:r>
            <w:r>
              <w:rPr>
                <w:rFonts w:hint="eastAsia"/>
                <w:color w:val="auto"/>
                <w:lang w:eastAsia="zh-CN"/>
              </w:rPr>
              <w:t>，在</w:t>
            </w:r>
            <w:r>
              <w:rPr>
                <w:rFonts w:hint="eastAsia" w:ascii="宋体" w:hAnsi="宋体" w:eastAsia="宋体" w:cs="宋体"/>
                <w:color w:val="auto"/>
                <w:kern w:val="0"/>
                <w:sz w:val="24"/>
                <w:szCs w:val="24"/>
                <w:lang w:val="en-US" w:eastAsia="zh-CN" w:bidi="ar"/>
              </w:rPr>
              <w:t>八一水库大坝下游</w:t>
            </w:r>
            <w:r>
              <w:rPr>
                <w:rFonts w:hint="eastAsia" w:ascii="宋体" w:hAnsi="宋体" w:cs="宋体"/>
                <w:color w:val="auto"/>
                <w:kern w:val="0"/>
                <w:sz w:val="24"/>
                <w:szCs w:val="24"/>
                <w:lang w:val="en-US" w:eastAsia="zh-CN" w:bidi="ar"/>
              </w:rPr>
              <w:t>新</w:t>
            </w:r>
            <w:r>
              <w:rPr>
                <w:rFonts w:hint="eastAsia" w:ascii="宋体" w:hAnsi="宋体" w:eastAsia="宋体" w:cs="宋体"/>
                <w:color w:val="auto"/>
                <w:kern w:val="0"/>
                <w:sz w:val="24"/>
                <w:szCs w:val="24"/>
                <w:lang w:val="en-US" w:eastAsia="zh-CN" w:bidi="ar"/>
              </w:rPr>
              <w:t>修建</w:t>
            </w:r>
            <w:r>
              <w:rPr>
                <w:rFonts w:hint="eastAsia" w:ascii="宋体" w:hAnsi="宋体" w:cs="宋体"/>
                <w:color w:val="auto"/>
                <w:kern w:val="0"/>
                <w:sz w:val="24"/>
                <w:szCs w:val="24"/>
                <w:lang w:val="en-US" w:eastAsia="zh-CN" w:bidi="ar"/>
              </w:rPr>
              <w:t>一条</w:t>
            </w:r>
            <w:r>
              <w:rPr>
                <w:rFonts w:hint="eastAsia" w:ascii="宋体" w:hAnsi="宋体" w:eastAsia="宋体" w:cs="宋体"/>
                <w:color w:val="auto"/>
                <w:kern w:val="0"/>
                <w:sz w:val="24"/>
                <w:szCs w:val="24"/>
                <w:lang w:val="en-US" w:eastAsia="zh-CN" w:bidi="ar"/>
              </w:rPr>
              <w:t>供水渠道、</w:t>
            </w:r>
            <w:r>
              <w:rPr>
                <w:rFonts w:hint="eastAsia" w:ascii="宋体" w:hAnsi="宋体" w:cs="宋体"/>
                <w:color w:val="auto"/>
                <w:kern w:val="0"/>
                <w:sz w:val="24"/>
                <w:szCs w:val="24"/>
                <w:lang w:val="en-US" w:eastAsia="zh-CN" w:bidi="ar"/>
              </w:rPr>
              <w:t>新建一套</w:t>
            </w:r>
            <w:r>
              <w:rPr>
                <w:rFonts w:hint="eastAsia" w:ascii="宋体" w:hAnsi="宋体" w:eastAsia="宋体" w:cs="宋体"/>
                <w:color w:val="auto"/>
                <w:kern w:val="0"/>
                <w:sz w:val="24"/>
                <w:szCs w:val="24"/>
                <w:lang w:val="en-US" w:eastAsia="zh-CN" w:bidi="ar"/>
              </w:rPr>
              <w:t>自来水净化设施</w:t>
            </w:r>
            <w:r>
              <w:rPr>
                <w:rFonts w:hint="eastAsia" w:ascii="宋体" w:hAnsi="宋体" w:cs="宋体"/>
                <w:color w:val="auto"/>
                <w:kern w:val="0"/>
                <w:sz w:val="24"/>
                <w:szCs w:val="24"/>
                <w:lang w:val="en-US" w:eastAsia="zh-CN" w:bidi="ar"/>
              </w:rPr>
              <w:t>和铺设供水管道以解决</w:t>
            </w:r>
            <w:r>
              <w:rPr>
                <w:rFonts w:hint="eastAsia" w:ascii="宋体" w:hAnsi="宋体" w:cs="宋体"/>
                <w:color w:val="auto"/>
                <w:kern w:val="0"/>
                <w:szCs w:val="24"/>
                <w:lang w:bidi="ar"/>
              </w:rPr>
              <w:t>西江镇区饮用水问题，满足对水量水质要求</w:t>
            </w:r>
            <w:r>
              <w:rPr>
                <w:rFonts w:hint="eastAsia" w:ascii="宋体" w:hAnsi="宋体" w:cs="宋体"/>
                <w:color w:val="auto"/>
                <w:kern w:val="0"/>
                <w:szCs w:val="24"/>
                <w:lang w:eastAsia="zh-CN" w:bidi="ar"/>
              </w:rPr>
              <w:t>，同时，新建灌溉管道以增加灌溉农田约</w:t>
            </w:r>
            <w:r>
              <w:rPr>
                <w:rFonts w:hint="eastAsia" w:ascii="宋体" w:hAnsi="宋体" w:cs="宋体"/>
                <w:color w:val="auto"/>
                <w:kern w:val="0"/>
                <w:szCs w:val="24"/>
                <w:lang w:val="en-US" w:eastAsia="zh-CN" w:bidi="ar"/>
              </w:rPr>
              <w:t>300亩</w:t>
            </w:r>
            <w:r>
              <w:rPr>
                <w:rFonts w:hint="default" w:ascii="Times New Roman" w:hAnsi="Times New Roman" w:cs="Times New Roman"/>
                <w:color w:val="auto"/>
                <w:kern w:val="0"/>
                <w:szCs w:val="24"/>
                <w:lang w:val="en-US" w:eastAsia="zh-CN" w:bidi="ar"/>
              </w:rPr>
              <w:t>。新建取水口位于新建隧洞前池，水源水通过重力作用流入隧洞前池，取水规模为606m</w:t>
            </w:r>
            <w:r>
              <w:rPr>
                <w:rFonts w:hint="default" w:ascii="Times New Roman" w:hAnsi="Times New Roman" w:cs="Times New Roman"/>
                <w:color w:val="auto"/>
                <w:kern w:val="0"/>
                <w:szCs w:val="24"/>
                <w:vertAlign w:val="superscript"/>
                <w:lang w:val="en-US" w:eastAsia="zh-CN" w:bidi="ar"/>
              </w:rPr>
              <w:t>3</w:t>
            </w:r>
            <w:r>
              <w:rPr>
                <w:rFonts w:hint="default" w:ascii="Times New Roman" w:hAnsi="Times New Roman" w:cs="Times New Roman"/>
                <w:color w:val="auto"/>
                <w:kern w:val="0"/>
                <w:szCs w:val="24"/>
                <w:lang w:val="en-US" w:eastAsia="zh-CN" w:bidi="ar"/>
              </w:rPr>
              <w:t>/d，本</w:t>
            </w:r>
            <w:r>
              <w:rPr>
                <w:rFonts w:hint="default" w:ascii="Times New Roman" w:hAnsi="Times New Roman" w:cs="Times New Roman"/>
                <w:color w:val="auto"/>
              </w:rPr>
              <w:t>工</w:t>
            </w:r>
            <w:r>
              <w:rPr>
                <w:rFonts w:hint="eastAsia"/>
                <w:color w:val="auto"/>
              </w:rPr>
              <w:t>程</w:t>
            </w:r>
            <w:r>
              <w:rPr>
                <w:rFonts w:hint="eastAsia"/>
                <w:color w:val="auto"/>
                <w:lang w:eastAsia="zh-CN"/>
              </w:rPr>
              <w:t>主要建设内容：</w:t>
            </w:r>
            <w:r>
              <w:rPr>
                <w:rFonts w:hint="eastAsia"/>
                <w:color w:val="auto"/>
                <w:lang w:val="en-US" w:eastAsia="zh-CN"/>
              </w:rPr>
              <w:t>①新建一座小型自来水厂；②新建隧洞一座，总长度1881m，1.5m×1.8m的圆拱形断面，新建一处取水口，位于隧洞口，</w:t>
            </w:r>
            <w:r>
              <w:rPr>
                <w:rFonts w:hint="eastAsia"/>
                <w:color w:val="auto"/>
                <w:highlight w:val="none"/>
                <w:lang w:eastAsia="zh-CN"/>
              </w:rPr>
              <w:t>水源水从隧洞口通过重力作用由隧洞输送至隧洞前池，取水规模为</w:t>
            </w:r>
            <w:r>
              <w:rPr>
                <w:rFonts w:hint="eastAsia"/>
                <w:color w:val="auto"/>
                <w:highlight w:val="none"/>
                <w:lang w:val="en-US" w:eastAsia="zh-CN"/>
              </w:rPr>
              <w:t>606m</w:t>
            </w:r>
            <w:r>
              <w:rPr>
                <w:rFonts w:hint="eastAsia"/>
                <w:color w:val="auto"/>
                <w:highlight w:val="none"/>
                <w:vertAlign w:val="superscript"/>
                <w:lang w:val="en-US" w:eastAsia="zh-CN"/>
              </w:rPr>
              <w:t>3</w:t>
            </w:r>
            <w:r>
              <w:rPr>
                <w:rFonts w:hint="eastAsia"/>
                <w:color w:val="auto"/>
                <w:highlight w:val="none"/>
                <w:lang w:val="en-US" w:eastAsia="zh-CN"/>
              </w:rPr>
              <w:t>/d</w:t>
            </w:r>
            <w:r>
              <w:rPr>
                <w:rFonts w:hint="eastAsia"/>
                <w:color w:val="auto"/>
                <w:lang w:val="en-US" w:eastAsia="zh-CN"/>
              </w:rPr>
              <w:t>，隧洞出口处新建输水管道，总长1493m，其中灌溉管道376m，供水管道945m，水库出水管道172m；③新建自来水净化设施一套，位于新建自来水厂内；④改造西江镇区原用水管网，其中水源供水主管8420m（老莫洞村净化池至西江镇区清水池），供水管道16910m；⑤新建De160PVC灌溉管道长376m，增加灌溉农田300亩；⑥对八一水库进行防渗补漏。</w:t>
            </w:r>
          </w:p>
          <w:p>
            <w:pPr>
              <w:ind w:firstLine="480"/>
              <w:rPr>
                <w:b/>
                <w:color w:val="auto"/>
                <w:highlight w:val="none"/>
              </w:rPr>
            </w:pPr>
            <w:r>
              <w:rPr>
                <w:rFonts w:hint="eastAsia"/>
                <w:color w:val="auto"/>
                <w:sz w:val="24"/>
                <w:szCs w:val="24"/>
              </w:rPr>
              <w:t>根据《广东省豁免环境影响评价手续办理的建设项目名录（2020年版）》（粤环函〔2020〕108号），“自来水生产和供应工程”</w:t>
            </w:r>
            <w:r>
              <w:rPr>
                <w:rFonts w:hint="eastAsia"/>
                <w:color w:val="auto"/>
                <w:sz w:val="24"/>
                <w:szCs w:val="24"/>
                <w:lang w:eastAsia="zh-CN"/>
              </w:rPr>
              <w:t>类别中</w:t>
            </w:r>
            <w:r>
              <w:rPr>
                <w:rFonts w:hint="eastAsia"/>
                <w:color w:val="auto"/>
                <w:sz w:val="24"/>
                <w:szCs w:val="24"/>
              </w:rPr>
              <w:t>的</w:t>
            </w:r>
            <w:r>
              <w:rPr>
                <w:rFonts w:hint="eastAsia"/>
                <w:color w:val="auto"/>
              </w:rPr>
              <w:t>自来水管</w:t>
            </w:r>
            <w:r>
              <w:rPr>
                <w:rFonts w:hint="eastAsia"/>
                <w:color w:val="auto"/>
                <w:lang w:eastAsia="zh-CN"/>
              </w:rPr>
              <w:t>网</w:t>
            </w:r>
            <w:r>
              <w:rPr>
                <w:rFonts w:hint="eastAsia"/>
                <w:color w:val="auto"/>
              </w:rPr>
              <w:t>铺设属于豁免名单</w:t>
            </w:r>
            <w:r>
              <w:rPr>
                <w:rFonts w:hint="eastAsia"/>
                <w:color w:val="auto"/>
                <w:sz w:val="24"/>
                <w:szCs w:val="24"/>
              </w:rPr>
              <w:t>类别，无需对其进行影响评价。因此，本报告</w:t>
            </w:r>
            <w:r>
              <w:rPr>
                <w:rFonts w:hint="eastAsia"/>
                <w:color w:val="auto"/>
                <w:sz w:val="24"/>
                <w:szCs w:val="24"/>
                <w:lang w:eastAsia="zh-CN"/>
              </w:rPr>
              <w:t>只分析</w:t>
            </w:r>
            <w:r>
              <w:rPr>
                <w:rFonts w:hint="eastAsia"/>
                <w:b w:val="0"/>
                <w:bCs w:val="0"/>
                <w:color w:val="auto"/>
                <w:lang w:eastAsia="zh-CN"/>
              </w:rPr>
              <w:t>新建的</w:t>
            </w:r>
            <w:r>
              <w:rPr>
                <w:rFonts w:hint="eastAsia"/>
                <w:color w:val="auto"/>
                <w:lang w:val="en-US" w:eastAsia="zh-CN"/>
              </w:rPr>
              <w:t>小型自来水厂</w:t>
            </w:r>
            <w:r>
              <w:rPr>
                <w:rFonts w:hint="eastAsia"/>
                <w:b w:val="0"/>
                <w:bCs w:val="0"/>
                <w:color w:val="auto"/>
                <w:lang w:eastAsia="zh-CN"/>
              </w:rPr>
              <w:t>、新建取水隧洞、</w:t>
            </w:r>
            <w:r>
              <w:rPr>
                <w:rFonts w:hint="eastAsia"/>
                <w:color w:val="auto"/>
                <w:lang w:val="en-US" w:eastAsia="zh-CN"/>
              </w:rPr>
              <w:t>对八一水库进行防渗补漏</w:t>
            </w:r>
            <w:r>
              <w:rPr>
                <w:rFonts w:hint="eastAsia"/>
                <w:b w:val="0"/>
                <w:bCs w:val="0"/>
                <w:color w:val="auto"/>
                <w:lang w:eastAsia="zh-CN"/>
              </w:rPr>
              <w:t>和</w:t>
            </w:r>
            <w:r>
              <w:rPr>
                <w:rFonts w:hint="eastAsia"/>
                <w:b w:val="0"/>
                <w:bCs w:val="0"/>
                <w:color w:val="auto"/>
                <w:highlight w:val="none"/>
              </w:rPr>
              <w:t>增加取水量对</w:t>
            </w:r>
            <w:r>
              <w:rPr>
                <w:rFonts w:hint="eastAsia"/>
                <w:b w:val="0"/>
                <w:bCs w:val="0"/>
                <w:color w:val="auto"/>
                <w:highlight w:val="none"/>
                <w:lang w:eastAsia="zh-CN"/>
              </w:rPr>
              <w:t>八一</w:t>
            </w:r>
            <w:r>
              <w:rPr>
                <w:rFonts w:hint="eastAsia"/>
                <w:b w:val="0"/>
                <w:bCs w:val="0"/>
                <w:color w:val="auto"/>
                <w:highlight w:val="none"/>
              </w:rPr>
              <w:t>水库的</w:t>
            </w:r>
            <w:r>
              <w:rPr>
                <w:rFonts w:hint="eastAsia"/>
                <w:b w:val="0"/>
                <w:bCs w:val="0"/>
                <w:color w:val="auto"/>
                <w:highlight w:val="none"/>
                <w:lang w:eastAsia="zh-CN"/>
              </w:rPr>
              <w:t>环境</w:t>
            </w:r>
            <w:r>
              <w:rPr>
                <w:rFonts w:hint="eastAsia"/>
                <w:b w:val="0"/>
                <w:bCs w:val="0"/>
                <w:color w:val="auto"/>
                <w:highlight w:val="none"/>
              </w:rPr>
              <w:t>影响。</w:t>
            </w:r>
          </w:p>
          <w:p>
            <w:pPr>
              <w:ind w:firstLine="480"/>
              <w:rPr>
                <w:b/>
                <w:color w:val="auto"/>
              </w:rPr>
            </w:pPr>
            <w:r>
              <w:rPr>
                <w:rFonts w:hint="eastAsia"/>
                <w:color w:val="auto"/>
              </w:rPr>
              <w:t>根据《中华人民共和国环境影响评价法》（2016年9月1日起实施）、《建设工程环境保护管理条例》（国务院令第682号）、</w:t>
            </w:r>
            <w:r>
              <w:rPr>
                <w:rFonts w:hint="eastAsia"/>
                <w:color w:val="auto"/>
                <w:sz w:val="24"/>
                <w:szCs w:val="24"/>
              </w:rPr>
              <w:t>《建设项目环境影响评价分类管理名录（2021年版）》(生态环境部令第16号，2020年11月30日)</w:t>
            </w:r>
            <w:r>
              <w:rPr>
                <w:rFonts w:hint="eastAsia"/>
                <w:color w:val="auto"/>
              </w:rPr>
              <w:t>等法律法规文件的要求，工程属于名录中“</w:t>
            </w:r>
            <w:r>
              <w:rPr>
                <w:rFonts w:hint="eastAsia"/>
                <w:color w:val="auto"/>
                <w:lang w:eastAsia="zh-CN"/>
              </w:rPr>
              <w:t>四</w:t>
            </w:r>
            <w:r>
              <w:rPr>
                <w:rFonts w:hint="eastAsia"/>
                <w:color w:val="auto"/>
              </w:rPr>
              <w:t>十三、水的生产和供应业”类别中的“9</w:t>
            </w:r>
            <w:r>
              <w:rPr>
                <w:rFonts w:hint="eastAsia"/>
                <w:color w:val="auto"/>
                <w:lang w:val="en-US" w:eastAsia="zh-CN"/>
              </w:rPr>
              <w:t>4</w:t>
            </w:r>
            <w:r>
              <w:rPr>
                <w:rFonts w:hint="eastAsia"/>
                <w:color w:val="auto"/>
              </w:rPr>
              <w:t xml:space="preserve"> 自 来 水 生 产 和 供 应 461（不含供应工程； 不含村庄供应工程）”中的“全部”类别，应编制环境影响报告表。建设单位委托湖南景玺环保科技有限公司承担该工程环境影响评价工作。接受委托后，我公司组织有关技术人员进行现场踏勘、收集资料，依据国家有关法规文件和环境影响评价技术导则，编制了该工程环境影响报告表。</w:t>
            </w:r>
          </w:p>
          <w:p>
            <w:pPr>
              <w:pStyle w:val="54"/>
              <w:topLinePunct/>
              <w:rPr>
                <w:color w:val="auto"/>
              </w:rPr>
            </w:pPr>
            <w:r>
              <w:rPr>
                <w:color w:val="auto"/>
              </w:rPr>
              <w:t>工程内容及规模</w:t>
            </w:r>
          </w:p>
          <w:p>
            <w:pPr>
              <w:pStyle w:val="55"/>
              <w:topLinePunct/>
              <w:ind w:firstLine="482"/>
              <w:rPr>
                <w:color w:val="auto"/>
              </w:rPr>
            </w:pPr>
            <w:r>
              <w:rPr>
                <w:color w:val="auto"/>
              </w:rPr>
              <w:t>1、</w:t>
            </w:r>
            <w:r>
              <w:rPr>
                <w:rFonts w:hint="eastAsia"/>
                <w:color w:val="auto"/>
              </w:rPr>
              <w:t>工程概况</w:t>
            </w:r>
          </w:p>
          <w:p>
            <w:pPr>
              <w:ind w:firstLine="480"/>
              <w:rPr>
                <w:rFonts w:hint="eastAsia" w:eastAsia="宋体"/>
                <w:color w:val="auto"/>
                <w:lang w:eastAsia="zh-CN"/>
              </w:rPr>
            </w:pPr>
            <w:r>
              <w:rPr>
                <w:rFonts w:hint="eastAsia"/>
                <w:color w:val="auto"/>
              </w:rPr>
              <w:t>（1）工程名称：连州市镇（乡）镇区自来水厂改造及水源地保护工程（一期）</w:t>
            </w:r>
            <w:r>
              <w:rPr>
                <w:rFonts w:hint="eastAsia"/>
                <w:color w:val="auto"/>
                <w:lang w:eastAsia="zh-CN"/>
              </w:rPr>
              <w:t>连州市西江镇区供水工程建设项目</w:t>
            </w:r>
          </w:p>
          <w:p>
            <w:pPr>
              <w:ind w:firstLine="480"/>
              <w:rPr>
                <w:color w:val="auto"/>
                <w:highlight w:val="none"/>
                <w:lang w:bidi="ar"/>
              </w:rPr>
            </w:pPr>
            <w:r>
              <w:rPr>
                <w:rFonts w:hint="eastAsia"/>
                <w:color w:val="auto"/>
              </w:rPr>
              <w:t>（2）建设地点：</w:t>
            </w:r>
            <w:r>
              <w:rPr>
                <w:rFonts w:hint="eastAsia"/>
                <w:color w:val="auto"/>
                <w:highlight w:val="none"/>
              </w:rPr>
              <w:t>连州市西江镇区，其中新建</w:t>
            </w:r>
            <w:r>
              <w:rPr>
                <w:rFonts w:hint="eastAsia"/>
                <w:color w:val="auto"/>
                <w:highlight w:val="none"/>
                <w:lang w:eastAsia="zh-CN"/>
              </w:rPr>
              <w:t>自来</w:t>
            </w:r>
            <w:r>
              <w:rPr>
                <w:rFonts w:hint="eastAsia"/>
                <w:color w:val="auto"/>
                <w:highlight w:val="none"/>
              </w:rPr>
              <w:t>水厂场址中心地理坐标：112°35'22.27"东、24°45'31.50"北</w:t>
            </w:r>
            <w:r>
              <w:rPr>
                <w:rFonts w:hint="eastAsia"/>
                <w:color w:val="auto"/>
                <w:highlight w:val="none"/>
                <w:lang w:eastAsia="zh-CN"/>
              </w:rPr>
              <w:t>。</w:t>
            </w:r>
          </w:p>
          <w:p>
            <w:pPr>
              <w:ind w:firstLine="480"/>
              <w:rPr>
                <w:color w:val="auto"/>
              </w:rPr>
            </w:pPr>
            <w:r>
              <w:rPr>
                <w:rFonts w:hint="eastAsia"/>
                <w:color w:val="auto"/>
              </w:rPr>
              <w:t>（3）建设单位：连州市水务工程建设管理中心</w:t>
            </w:r>
          </w:p>
          <w:p>
            <w:pPr>
              <w:ind w:firstLine="480"/>
              <w:rPr>
                <w:color w:val="auto"/>
              </w:rPr>
            </w:pPr>
            <w:r>
              <w:rPr>
                <w:rFonts w:hint="eastAsia"/>
                <w:color w:val="auto"/>
              </w:rPr>
              <w:t>（4）建设性质：新建</w:t>
            </w:r>
          </w:p>
          <w:p>
            <w:pPr>
              <w:ind w:firstLine="480"/>
              <w:rPr>
                <w:color w:val="auto"/>
              </w:rPr>
            </w:pPr>
            <w:r>
              <w:rPr>
                <w:rFonts w:hint="eastAsia"/>
                <w:color w:val="auto"/>
              </w:rPr>
              <w:t>（5）投资情况：总投资</w:t>
            </w:r>
            <w:r>
              <w:rPr>
                <w:rFonts w:hint="eastAsia"/>
                <w:color w:val="auto"/>
                <w:lang w:val="en-US" w:eastAsia="zh-CN"/>
              </w:rPr>
              <w:t>2236.71</w:t>
            </w:r>
            <w:r>
              <w:rPr>
                <w:rFonts w:hint="eastAsia"/>
                <w:color w:val="auto"/>
              </w:rPr>
              <w:t>万元，其中环保投资</w:t>
            </w:r>
            <w:r>
              <w:rPr>
                <w:rFonts w:hint="eastAsia"/>
                <w:color w:val="auto"/>
                <w:lang w:val="en-US" w:eastAsia="zh-CN"/>
              </w:rPr>
              <w:t>11.12</w:t>
            </w:r>
            <w:r>
              <w:rPr>
                <w:rFonts w:hint="eastAsia"/>
                <w:color w:val="auto"/>
              </w:rPr>
              <w:t>万元</w:t>
            </w:r>
          </w:p>
          <w:p>
            <w:pPr>
              <w:pStyle w:val="55"/>
              <w:topLinePunct/>
              <w:ind w:firstLine="482"/>
              <w:rPr>
                <w:color w:val="auto"/>
              </w:rPr>
            </w:pPr>
            <w:r>
              <w:rPr>
                <w:rFonts w:hint="eastAsia"/>
                <w:color w:val="auto"/>
              </w:rPr>
              <w:t>2、工程任务</w:t>
            </w:r>
            <w:r>
              <w:rPr>
                <w:color w:val="auto"/>
              </w:rPr>
              <w:t>及规模</w:t>
            </w:r>
          </w:p>
          <w:p>
            <w:pPr>
              <w:topLinePunct/>
              <w:ind w:firstLine="480"/>
              <w:rPr>
                <w:color w:val="auto"/>
              </w:rPr>
            </w:pPr>
            <w:r>
              <w:rPr>
                <w:rFonts w:hint="eastAsia"/>
                <w:color w:val="auto"/>
              </w:rPr>
              <w:t>（1）工程任务及建设内容</w:t>
            </w:r>
          </w:p>
          <w:p>
            <w:pPr>
              <w:topLinePunct w:val="0"/>
              <w:ind w:firstLine="480" w:firstLineChars="20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rFonts w:hint="eastAsia"/>
                <w:color w:val="auto"/>
                <w:lang w:eastAsia="zh-CN"/>
              </w:rPr>
              <w:t>拟在在</w:t>
            </w:r>
            <w:r>
              <w:rPr>
                <w:rFonts w:hint="eastAsia"/>
                <w:color w:val="auto"/>
                <w:highlight w:val="none"/>
                <w:lang w:eastAsia="zh-CN"/>
              </w:rPr>
              <w:t>八一</w:t>
            </w:r>
            <w:r>
              <w:rPr>
                <w:rFonts w:hint="eastAsia"/>
                <w:color w:val="auto"/>
                <w:highlight w:val="none"/>
              </w:rPr>
              <w:t>水库</w:t>
            </w:r>
            <w:r>
              <w:rPr>
                <w:rFonts w:hint="eastAsia"/>
                <w:color w:val="auto"/>
                <w:highlight w:val="none"/>
                <w:lang w:eastAsia="zh-CN"/>
              </w:rPr>
              <w:t>大坝新建一座隧洞，</w:t>
            </w:r>
            <w:r>
              <w:rPr>
                <w:rFonts w:hint="eastAsia"/>
                <w:color w:val="auto"/>
                <w:lang w:eastAsia="zh-CN"/>
              </w:rPr>
              <w:t>从大坝左岸开始起洞，至西江村后山出洞</w:t>
            </w:r>
            <w:r>
              <w:rPr>
                <w:rFonts w:hint="eastAsia"/>
                <w:color w:val="auto"/>
                <w:highlight w:val="none"/>
                <w:lang w:eastAsia="zh-CN"/>
              </w:rPr>
              <w:t>（起点坐标：24°44'27.80"北，112°34'57.61"东；终点坐标：24°45'22.82"北，112°35'23.13"东），隧洞全长</w:t>
            </w:r>
            <w:r>
              <w:rPr>
                <w:rFonts w:hint="eastAsia"/>
                <w:color w:val="auto"/>
                <w:highlight w:val="none"/>
                <w:lang w:val="en-US" w:eastAsia="zh-CN"/>
              </w:rPr>
              <w:t>1881m</w:t>
            </w:r>
            <w:r>
              <w:rPr>
                <w:rFonts w:hint="eastAsia"/>
                <w:color w:val="auto"/>
                <w:highlight w:val="none"/>
                <w:lang w:eastAsia="zh-CN"/>
              </w:rPr>
              <w:t>，</w:t>
            </w:r>
            <w:r>
              <w:rPr>
                <w:rFonts w:hint="eastAsia"/>
                <w:color w:val="auto"/>
                <w:lang w:val="en-US" w:eastAsia="zh-CN"/>
              </w:rPr>
              <w:t>新建一处取水口，位于隧洞口，</w:t>
            </w:r>
            <w:r>
              <w:rPr>
                <w:rFonts w:hint="eastAsia"/>
                <w:color w:val="auto"/>
                <w:highlight w:val="none"/>
                <w:lang w:eastAsia="zh-CN"/>
              </w:rPr>
              <w:t>取水量为</w:t>
            </w:r>
            <w:r>
              <w:rPr>
                <w:rFonts w:hint="eastAsia"/>
                <w:color w:val="auto"/>
                <w:highlight w:val="none"/>
                <w:lang w:val="en-US" w:eastAsia="zh-CN"/>
              </w:rPr>
              <w:t>606m</w:t>
            </w:r>
            <w:r>
              <w:rPr>
                <w:rFonts w:hint="eastAsia"/>
                <w:color w:val="auto"/>
                <w:highlight w:val="none"/>
                <w:vertAlign w:val="superscript"/>
                <w:lang w:val="en-US" w:eastAsia="zh-CN"/>
              </w:rPr>
              <w:t>3</w:t>
            </w:r>
            <w:r>
              <w:rPr>
                <w:rFonts w:hint="eastAsia"/>
                <w:color w:val="auto"/>
                <w:highlight w:val="none"/>
                <w:lang w:val="en-US" w:eastAsia="zh-CN"/>
              </w:rPr>
              <w:t>/d，</w:t>
            </w:r>
            <w:r>
              <w:rPr>
                <w:rFonts w:hint="eastAsia"/>
                <w:color w:val="auto"/>
                <w:highlight w:val="none"/>
                <w:lang w:eastAsia="zh-CN"/>
              </w:rPr>
              <w:t>水源水从隧洞口通过重力作用由隧洞输送至隧洞前池，隧洞前池坐标为（24°45'22.82"北，112°35'23.13"东），从隧洞前池处通过管道将水源水输送至新建小型自来水厂</w:t>
            </w:r>
            <w:r>
              <w:rPr>
                <w:rFonts w:hint="eastAsia"/>
                <w:color w:val="auto"/>
                <w:highlight w:val="none"/>
              </w:rPr>
              <w:t>；</w:t>
            </w:r>
            <w:r>
              <w:rPr>
                <w:rFonts w:hint="eastAsia"/>
                <w:color w:val="auto"/>
              </w:rPr>
              <w:t>②</w:t>
            </w:r>
            <w:r>
              <w:rPr>
                <w:rFonts w:hint="eastAsia"/>
                <w:color w:val="auto"/>
                <w:lang w:eastAsia="zh-CN"/>
              </w:rPr>
              <w:t>新建一座小型自来水厂</w:t>
            </w:r>
            <w:r>
              <w:rPr>
                <w:rFonts w:hint="eastAsia"/>
                <w:color w:val="auto"/>
              </w:rPr>
              <w:t>（中心地理坐标：</w:t>
            </w:r>
            <w:r>
              <w:rPr>
                <w:rFonts w:hint="eastAsia"/>
                <w:color w:val="auto"/>
                <w:lang w:eastAsia="zh-CN"/>
              </w:rPr>
              <w:t>112°35'22.27"东、24°45'31.50"北</w:t>
            </w:r>
            <w:r>
              <w:rPr>
                <w:rFonts w:hint="eastAsia"/>
                <w:color w:val="auto"/>
              </w:rPr>
              <w:t>），主要建筑物有</w:t>
            </w:r>
            <w:r>
              <w:rPr>
                <w:rFonts w:hint="eastAsia"/>
                <w:color w:val="auto"/>
                <w:lang w:val="en-US" w:eastAsia="zh-CN"/>
              </w:rPr>
              <w:t>自来水净化设施、</w:t>
            </w:r>
            <w:r>
              <w:rPr>
                <w:rFonts w:hint="eastAsia"/>
                <w:color w:val="auto"/>
              </w:rPr>
              <w:t>配套</w:t>
            </w:r>
            <w:r>
              <w:rPr>
                <w:rFonts w:hint="eastAsia"/>
                <w:color w:val="auto"/>
                <w:lang w:eastAsia="zh-CN"/>
              </w:rPr>
              <w:t>办公</w:t>
            </w:r>
            <w:r>
              <w:rPr>
                <w:rFonts w:hint="eastAsia"/>
                <w:color w:val="auto"/>
              </w:rPr>
              <w:t>管理房、加药房</w:t>
            </w:r>
            <w:r>
              <w:rPr>
                <w:rFonts w:hint="eastAsia"/>
                <w:color w:val="auto"/>
                <w:lang w:eastAsia="zh-CN"/>
              </w:rPr>
              <w:t>；③</w:t>
            </w:r>
            <w:r>
              <w:rPr>
                <w:rFonts w:hint="eastAsia"/>
                <w:color w:val="auto"/>
                <w:lang w:val="en-US" w:eastAsia="zh-CN"/>
              </w:rPr>
              <w:t>对八一水库右侧库岸进行防渗补漏，在渗漏区域实行粘土斜墙防渗形式，并清除周围的淤泥、树根和杂草；④新建一条进厂道路，长605m，宽3m；⑤新建De160PVC灌溉管道长376m，增加灌溉农田300亩</w:t>
            </w:r>
            <w:r>
              <w:rPr>
                <w:rFonts w:hint="eastAsia"/>
                <w:color w:val="auto"/>
              </w:rPr>
              <w:t>。</w:t>
            </w:r>
          </w:p>
          <w:p>
            <w:pPr>
              <w:topLinePunct/>
              <w:ind w:firstLine="480"/>
              <w:rPr>
                <w:color w:val="auto"/>
              </w:rPr>
            </w:pPr>
            <w:r>
              <w:rPr>
                <w:rFonts w:hint="eastAsia"/>
                <w:color w:val="auto"/>
              </w:rPr>
              <w:t>（2）供水规模</w:t>
            </w:r>
          </w:p>
          <w:p>
            <w:pPr>
              <w:ind w:firstLine="480"/>
              <w:rPr>
                <w:rFonts w:hint="eastAsia"/>
                <w:color w:val="auto"/>
              </w:rPr>
            </w:pPr>
            <w:r>
              <w:rPr>
                <w:rFonts w:hint="eastAsia"/>
                <w:color w:val="auto"/>
                <w:lang w:val="en-US" w:eastAsia="zh-CN"/>
              </w:rPr>
              <w:t>设计供水人数为4500人，供水规模为606m³/d，设计最高日最高时设计流量94.52m³/h，供水范围为西江镇区；设计灌溉农田300亩，灌溉设计流量为0.03m³/s，灌溉范围为八一水库灌区。本自来水厂建设完工后作为西江镇区的补充水源，当镇区原有水源供应不上或断供时，启用本水源。</w:t>
            </w:r>
          </w:p>
          <w:p>
            <w:pPr>
              <w:ind w:firstLine="480"/>
              <w:rPr>
                <w:color w:val="auto"/>
              </w:rPr>
            </w:pPr>
            <w:r>
              <w:rPr>
                <w:rFonts w:hint="eastAsia"/>
                <w:color w:val="auto"/>
              </w:rPr>
              <w:t>（3）工程布置</w:t>
            </w:r>
          </w:p>
          <w:p>
            <w:pPr>
              <w:ind w:firstLine="480"/>
              <w:rPr>
                <w:color w:val="auto"/>
              </w:rPr>
            </w:pPr>
            <w:r>
              <w:rPr>
                <w:rFonts w:hint="eastAsia"/>
                <w:color w:val="auto"/>
              </w:rPr>
              <w:t>本工程建筑物组成如下表。</w:t>
            </w:r>
          </w:p>
          <w:p>
            <w:pPr>
              <w:pStyle w:val="56"/>
              <w:rPr>
                <w:color w:val="auto"/>
              </w:rPr>
            </w:pPr>
            <w:r>
              <w:rPr>
                <w:rFonts w:hint="eastAsia"/>
                <w:color w:val="auto"/>
              </w:rPr>
              <w:t>表1</w:t>
            </w:r>
            <w:r>
              <w:rPr>
                <w:rFonts w:hint="eastAsia"/>
                <w:color w:val="auto"/>
                <w:lang w:val="en-US" w:eastAsia="zh-CN"/>
              </w:rPr>
              <w:t>-1</w:t>
            </w:r>
            <w:r>
              <w:rPr>
                <w:rFonts w:hint="eastAsia"/>
                <w:color w:val="auto"/>
              </w:rPr>
              <w:t xml:space="preserve">  工程建筑物组成一览表</w:t>
            </w:r>
          </w:p>
          <w:tbl>
            <w:tblPr>
              <w:tblStyle w:val="39"/>
              <w:tblW w:w="849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417"/>
              <w:gridCol w:w="709"/>
              <w:gridCol w:w="709"/>
              <w:gridCol w:w="2056"/>
              <w:gridCol w:w="291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color w:val="auto"/>
                    </w:rPr>
                  </w:pPr>
                  <w:r>
                    <w:rPr>
                      <w:rFonts w:hint="eastAsia"/>
                      <w:color w:val="auto"/>
                    </w:rPr>
                    <w:t>序号</w:t>
                  </w:r>
                </w:p>
              </w:tc>
              <w:tc>
                <w:tcPr>
                  <w:tcW w:w="1417" w:type="dxa"/>
                  <w:shd w:val="clear" w:color="auto" w:fill="auto"/>
                  <w:vAlign w:val="center"/>
                </w:tcPr>
                <w:p>
                  <w:pPr>
                    <w:pStyle w:val="57"/>
                    <w:rPr>
                      <w:color w:val="auto"/>
                    </w:rPr>
                  </w:pPr>
                  <w:r>
                    <w:rPr>
                      <w:rFonts w:hint="eastAsia"/>
                      <w:color w:val="auto"/>
                    </w:rPr>
                    <w:t>名称</w:t>
                  </w:r>
                </w:p>
              </w:tc>
              <w:tc>
                <w:tcPr>
                  <w:tcW w:w="709" w:type="dxa"/>
                  <w:shd w:val="clear" w:color="auto" w:fill="auto"/>
                  <w:vAlign w:val="center"/>
                </w:tcPr>
                <w:p>
                  <w:pPr>
                    <w:pStyle w:val="57"/>
                    <w:rPr>
                      <w:color w:val="auto"/>
                    </w:rPr>
                  </w:pPr>
                  <w:r>
                    <w:rPr>
                      <w:rFonts w:hint="eastAsia"/>
                      <w:color w:val="auto"/>
                    </w:rPr>
                    <w:t>单位</w:t>
                  </w:r>
                </w:p>
              </w:tc>
              <w:tc>
                <w:tcPr>
                  <w:tcW w:w="709" w:type="dxa"/>
                  <w:shd w:val="clear" w:color="auto" w:fill="auto"/>
                  <w:vAlign w:val="center"/>
                </w:tcPr>
                <w:p>
                  <w:pPr>
                    <w:pStyle w:val="57"/>
                    <w:rPr>
                      <w:color w:val="auto"/>
                    </w:rPr>
                  </w:pPr>
                  <w:r>
                    <w:rPr>
                      <w:rFonts w:hint="eastAsia"/>
                      <w:color w:val="auto"/>
                    </w:rPr>
                    <w:t>数量</w:t>
                  </w:r>
                </w:p>
              </w:tc>
              <w:tc>
                <w:tcPr>
                  <w:tcW w:w="2056" w:type="dxa"/>
                  <w:shd w:val="clear" w:color="auto" w:fill="auto"/>
                  <w:vAlign w:val="center"/>
                </w:tcPr>
                <w:p>
                  <w:pPr>
                    <w:pStyle w:val="57"/>
                    <w:rPr>
                      <w:color w:val="auto"/>
                    </w:rPr>
                  </w:pPr>
                  <w:r>
                    <w:rPr>
                      <w:rFonts w:hint="eastAsia"/>
                      <w:color w:val="auto"/>
                    </w:rPr>
                    <w:t>设施参数</w:t>
                  </w:r>
                </w:p>
              </w:tc>
              <w:tc>
                <w:tcPr>
                  <w:tcW w:w="2911" w:type="dxa"/>
                  <w:shd w:val="clear" w:color="auto" w:fill="auto"/>
                  <w:vAlign w:val="center"/>
                </w:tcPr>
                <w:p>
                  <w:pPr>
                    <w:pStyle w:val="57"/>
                    <w:rPr>
                      <w:color w:val="auto"/>
                    </w:rPr>
                  </w:pPr>
                  <w:r>
                    <w:rPr>
                      <w:rFonts w:hint="eastAsia"/>
                      <w:color w:val="auto"/>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494" w:type="dxa"/>
                  <w:gridSpan w:val="6"/>
                  <w:shd w:val="clear" w:color="auto" w:fill="auto"/>
                  <w:vAlign w:val="center"/>
                </w:tcPr>
                <w:p>
                  <w:pPr>
                    <w:pStyle w:val="57"/>
                    <w:jc w:val="left"/>
                    <w:rPr>
                      <w:b/>
                      <w:bCs/>
                      <w:color w:val="auto"/>
                    </w:rPr>
                  </w:pPr>
                  <w:r>
                    <w:rPr>
                      <w:rFonts w:hint="eastAsia"/>
                      <w:b/>
                      <w:bCs/>
                      <w:color w:val="auto"/>
                    </w:rPr>
                    <w:t>一、主要建（构）筑物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rFonts w:cs="Times New Roman"/>
                      <w:color w:val="auto"/>
                    </w:rPr>
                  </w:pPr>
                  <w:r>
                    <w:rPr>
                      <w:rFonts w:cs="Times New Roman"/>
                      <w:color w:val="auto"/>
                    </w:rPr>
                    <w:t>1</w:t>
                  </w:r>
                </w:p>
              </w:tc>
              <w:tc>
                <w:tcPr>
                  <w:tcW w:w="1417" w:type="dxa"/>
                  <w:shd w:val="clear" w:color="auto" w:fill="auto"/>
                  <w:vAlign w:val="center"/>
                </w:tcPr>
                <w:p>
                  <w:pPr>
                    <w:pStyle w:val="57"/>
                    <w:rPr>
                      <w:rFonts w:hint="eastAsia" w:eastAsia="宋体"/>
                      <w:color w:val="auto"/>
                      <w:lang w:eastAsia="zh-CN"/>
                    </w:rPr>
                  </w:pPr>
                  <w:r>
                    <w:rPr>
                      <w:rFonts w:hint="eastAsia"/>
                      <w:color w:val="auto"/>
                      <w:lang w:eastAsia="zh-CN"/>
                    </w:rPr>
                    <w:t>隧洞</w:t>
                  </w:r>
                </w:p>
              </w:tc>
              <w:tc>
                <w:tcPr>
                  <w:tcW w:w="709" w:type="dxa"/>
                  <w:shd w:val="clear" w:color="auto" w:fill="auto"/>
                  <w:vAlign w:val="center"/>
                </w:tcPr>
                <w:p>
                  <w:pPr>
                    <w:pStyle w:val="57"/>
                    <w:rPr>
                      <w:color w:val="auto"/>
                    </w:rPr>
                  </w:pPr>
                  <w:r>
                    <w:rPr>
                      <w:rFonts w:hint="eastAsia"/>
                      <w:color w:val="auto"/>
                    </w:rPr>
                    <w:t>座</w:t>
                  </w:r>
                </w:p>
              </w:tc>
              <w:tc>
                <w:tcPr>
                  <w:tcW w:w="709" w:type="dxa"/>
                  <w:shd w:val="clear" w:color="auto" w:fill="auto"/>
                  <w:vAlign w:val="center"/>
                </w:tcPr>
                <w:p>
                  <w:pPr>
                    <w:pStyle w:val="57"/>
                    <w:rPr>
                      <w:rFonts w:cs="Times New Roman"/>
                      <w:color w:val="auto"/>
                    </w:rPr>
                  </w:pPr>
                  <w:r>
                    <w:rPr>
                      <w:rFonts w:cs="Times New Roman"/>
                      <w:color w:val="auto"/>
                    </w:rPr>
                    <w:t>1</w:t>
                  </w:r>
                </w:p>
              </w:tc>
              <w:tc>
                <w:tcPr>
                  <w:tcW w:w="2056" w:type="dxa"/>
                  <w:shd w:val="clear" w:color="auto" w:fill="auto"/>
                  <w:vAlign w:val="center"/>
                </w:tcPr>
                <w:p>
                  <w:pPr>
                    <w:pStyle w:val="57"/>
                    <w:rPr>
                      <w:rFonts w:hint="eastAsia"/>
                      <w:color w:val="auto"/>
                      <w:lang w:val="en-US" w:eastAsia="zh-CN"/>
                    </w:rPr>
                  </w:pPr>
                  <w:r>
                    <w:rPr>
                      <w:rFonts w:hint="eastAsia"/>
                      <w:color w:val="auto"/>
                      <w:lang w:eastAsia="zh-CN"/>
                    </w:rPr>
                    <w:t>长度</w:t>
                  </w:r>
                  <w:r>
                    <w:rPr>
                      <w:rFonts w:hint="eastAsia"/>
                      <w:color w:val="auto"/>
                      <w:lang w:val="en-US" w:eastAsia="zh-CN"/>
                    </w:rPr>
                    <w:t>1881m，</w:t>
                  </w:r>
                </w:p>
                <w:p>
                  <w:pPr>
                    <w:pStyle w:val="57"/>
                    <w:rPr>
                      <w:rFonts w:hint="eastAsia"/>
                      <w:color w:val="auto"/>
                      <w:lang w:val="en-US" w:eastAsia="zh-CN"/>
                    </w:rPr>
                  </w:pPr>
                  <w:r>
                    <w:rPr>
                      <w:rFonts w:hint="eastAsia"/>
                      <w:color w:val="auto"/>
                      <w:lang w:val="en-US" w:eastAsia="zh-CN"/>
                    </w:rPr>
                    <w:t>圆拱形1.5m×1.8m，</w:t>
                  </w:r>
                </w:p>
                <w:p>
                  <w:pPr>
                    <w:pStyle w:val="57"/>
                    <w:rPr>
                      <w:rFonts w:hint="default" w:eastAsia="宋体"/>
                      <w:color w:val="auto"/>
                      <w:lang w:val="en-US" w:eastAsia="zh-CN"/>
                    </w:rPr>
                  </w:pPr>
                  <w:r>
                    <w:rPr>
                      <w:rFonts w:hint="eastAsia"/>
                      <w:color w:val="auto"/>
                      <w:lang w:eastAsia="zh-CN"/>
                    </w:rPr>
                    <w:t>设计流量</w:t>
                  </w:r>
                  <w:r>
                    <w:rPr>
                      <w:rFonts w:hint="eastAsia"/>
                      <w:color w:val="auto"/>
                      <w:lang w:val="en-US" w:eastAsia="zh-CN"/>
                    </w:rPr>
                    <w:t>0.03m</w:t>
                  </w:r>
                  <w:r>
                    <w:rPr>
                      <w:rFonts w:hint="eastAsia"/>
                      <w:color w:val="auto"/>
                      <w:vertAlign w:val="superscript"/>
                      <w:lang w:val="en-US" w:eastAsia="zh-CN"/>
                    </w:rPr>
                    <w:t>3</w:t>
                  </w:r>
                  <w:r>
                    <w:rPr>
                      <w:rFonts w:hint="eastAsia"/>
                      <w:color w:val="auto"/>
                      <w:lang w:val="en-US" w:eastAsia="zh-CN"/>
                    </w:rPr>
                    <w:t>/s</w:t>
                  </w:r>
                </w:p>
              </w:tc>
              <w:tc>
                <w:tcPr>
                  <w:tcW w:w="2911" w:type="dxa"/>
                  <w:shd w:val="clear" w:color="auto" w:fill="auto"/>
                  <w:vAlign w:val="center"/>
                </w:tcPr>
                <w:p>
                  <w:pPr>
                    <w:pStyle w:val="57"/>
                    <w:rPr>
                      <w:color w:val="auto"/>
                    </w:rPr>
                  </w:pPr>
                  <w:r>
                    <w:rPr>
                      <w:rFonts w:hint="eastAsia"/>
                      <w:color w:val="auto"/>
                      <w:lang w:eastAsia="zh-CN"/>
                    </w:rPr>
                    <w:t>隧洞采用爆破开挖，从大坝左岸开始起洞，至西江村后山出洞。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rFonts w:hint="eastAsia" w:eastAsia="宋体" w:cs="Times New Roman"/>
                      <w:color w:val="auto"/>
                      <w:lang w:eastAsia="zh-CN"/>
                    </w:rPr>
                  </w:pPr>
                  <w:r>
                    <w:rPr>
                      <w:rFonts w:hint="eastAsia" w:cs="Times New Roman"/>
                      <w:color w:val="auto"/>
                      <w:lang w:val="en-US" w:eastAsia="zh-CN"/>
                    </w:rPr>
                    <w:t>2</w:t>
                  </w:r>
                </w:p>
              </w:tc>
              <w:tc>
                <w:tcPr>
                  <w:tcW w:w="1417" w:type="dxa"/>
                  <w:shd w:val="clear" w:color="auto" w:fill="auto"/>
                  <w:vAlign w:val="center"/>
                </w:tcPr>
                <w:p>
                  <w:pPr>
                    <w:pStyle w:val="57"/>
                    <w:ind w:firstLine="0" w:firstLineChars="0"/>
                    <w:rPr>
                      <w:rFonts w:hint="eastAsia" w:ascii="Times New Roman" w:hAnsi="Times New Roman" w:eastAsia="宋体" w:cstheme="minorBidi"/>
                      <w:b w:val="0"/>
                      <w:color w:val="auto"/>
                      <w:kern w:val="2"/>
                      <w:sz w:val="21"/>
                      <w:lang w:val="en-US" w:eastAsia="zh-CN" w:bidi="ar-SA"/>
                    </w:rPr>
                  </w:pPr>
                  <w:r>
                    <w:rPr>
                      <w:rFonts w:hint="eastAsia"/>
                      <w:color w:val="auto"/>
                      <w:lang w:eastAsia="zh-CN"/>
                    </w:rPr>
                    <w:t>自来水厂</w:t>
                  </w:r>
                </w:p>
              </w:tc>
              <w:tc>
                <w:tcPr>
                  <w:tcW w:w="709" w:type="dxa"/>
                  <w:shd w:val="clear" w:color="auto" w:fill="auto"/>
                  <w:vAlign w:val="center"/>
                </w:tcPr>
                <w:p>
                  <w:pPr>
                    <w:pStyle w:val="57"/>
                    <w:ind w:firstLine="0" w:firstLineChars="0"/>
                    <w:rPr>
                      <w:rFonts w:ascii="Times New Roman" w:hAnsi="Times New Roman" w:eastAsia="宋体" w:cstheme="minorBidi"/>
                      <w:b w:val="0"/>
                      <w:color w:val="auto"/>
                      <w:kern w:val="2"/>
                      <w:sz w:val="21"/>
                      <w:lang w:val="en-US" w:eastAsia="zh-CN" w:bidi="ar-SA"/>
                    </w:rPr>
                  </w:pPr>
                  <w:r>
                    <w:rPr>
                      <w:rFonts w:hint="eastAsia"/>
                      <w:color w:val="auto"/>
                    </w:rPr>
                    <w:t>座</w:t>
                  </w:r>
                </w:p>
              </w:tc>
              <w:tc>
                <w:tcPr>
                  <w:tcW w:w="709" w:type="dxa"/>
                  <w:shd w:val="clear" w:color="auto" w:fill="auto"/>
                  <w:vAlign w:val="center"/>
                </w:tcPr>
                <w:p>
                  <w:pPr>
                    <w:pStyle w:val="57"/>
                    <w:ind w:firstLine="0" w:firstLineChars="0"/>
                    <w:rPr>
                      <w:rFonts w:ascii="Times New Roman" w:hAnsi="Times New Roman" w:eastAsia="宋体" w:cs="Times New Roman"/>
                      <w:b w:val="0"/>
                      <w:color w:val="auto"/>
                      <w:kern w:val="2"/>
                      <w:sz w:val="21"/>
                      <w:lang w:val="en-US" w:eastAsia="zh-CN" w:bidi="ar-SA"/>
                    </w:rPr>
                  </w:pPr>
                  <w:r>
                    <w:rPr>
                      <w:rFonts w:cs="Times New Roman"/>
                      <w:color w:val="auto"/>
                    </w:rPr>
                    <w:t>1</w:t>
                  </w:r>
                </w:p>
              </w:tc>
              <w:tc>
                <w:tcPr>
                  <w:tcW w:w="2056" w:type="dxa"/>
                  <w:shd w:val="clear" w:color="auto" w:fill="auto"/>
                  <w:vAlign w:val="center"/>
                </w:tcPr>
                <w:p>
                  <w:pPr>
                    <w:pStyle w:val="57"/>
                    <w:ind w:firstLine="0" w:firstLineChars="0"/>
                    <w:rPr>
                      <w:rFonts w:hint="eastAsia" w:ascii="Times New Roman" w:hAnsi="Times New Roman" w:eastAsia="宋体" w:cs="Times New Roman"/>
                      <w:b w:val="0"/>
                      <w:color w:val="auto"/>
                      <w:kern w:val="2"/>
                      <w:sz w:val="21"/>
                      <w:lang w:val="en-US" w:eastAsia="zh-CN" w:bidi="ar-SA"/>
                    </w:rPr>
                  </w:pPr>
                  <w:r>
                    <w:rPr>
                      <w:rFonts w:hint="eastAsia"/>
                      <w:color w:val="auto"/>
                      <w:lang w:eastAsia="zh-CN"/>
                    </w:rPr>
                    <w:t>总</w:t>
                  </w:r>
                  <w:r>
                    <w:rPr>
                      <w:rFonts w:hint="eastAsia"/>
                      <w:color w:val="auto"/>
                    </w:rPr>
                    <w:t>占地面积</w:t>
                  </w:r>
                  <w:r>
                    <w:rPr>
                      <w:rFonts w:hint="eastAsia"/>
                      <w:color w:val="auto"/>
                      <w:lang w:val="en-US" w:eastAsia="zh-CN"/>
                    </w:rPr>
                    <w:t>360</w:t>
                  </w:r>
                  <w:r>
                    <w:rPr>
                      <w:rFonts w:hint="eastAsia" w:asciiTheme="minorBidi" w:hAnsiTheme="minorBidi"/>
                      <w:color w:val="auto"/>
                    </w:rPr>
                    <w:t>m</w:t>
                  </w:r>
                  <w:r>
                    <w:rPr>
                      <w:rFonts w:hint="eastAsia"/>
                      <w:color w:val="auto"/>
                      <w:vertAlign w:val="superscript"/>
                      <w:lang w:val="en-US" w:eastAsia="zh-CN"/>
                    </w:rPr>
                    <w:t>2</w:t>
                  </w:r>
                </w:p>
              </w:tc>
              <w:tc>
                <w:tcPr>
                  <w:tcW w:w="2911" w:type="dxa"/>
                  <w:shd w:val="clear" w:color="auto" w:fill="auto"/>
                  <w:vAlign w:val="center"/>
                </w:tcPr>
                <w:p>
                  <w:pPr>
                    <w:pStyle w:val="57"/>
                    <w:ind w:firstLine="0" w:firstLineChars="0"/>
                    <w:rPr>
                      <w:rFonts w:hint="default" w:ascii="Times New Roman" w:hAnsi="Times New Roman" w:eastAsia="宋体" w:cstheme="minorBidi"/>
                      <w:b w:val="0"/>
                      <w:color w:val="auto"/>
                      <w:kern w:val="2"/>
                      <w:sz w:val="21"/>
                      <w:lang w:val="en-US" w:eastAsia="zh-CN" w:bidi="ar-SA"/>
                    </w:rPr>
                  </w:pPr>
                  <w:r>
                    <w:rPr>
                      <w:rFonts w:hint="eastAsia"/>
                      <w:color w:val="auto"/>
                    </w:rPr>
                    <w:t>砖混结构</w:t>
                  </w:r>
                  <w:r>
                    <w:rPr>
                      <w:rFonts w:hint="eastAsia"/>
                      <w:color w:val="auto"/>
                      <w:lang w:eastAsia="zh-CN"/>
                    </w:rPr>
                    <w:t>，内含一个净化一体机（占地</w:t>
                  </w:r>
                  <w:r>
                    <w:rPr>
                      <w:rFonts w:hint="eastAsia"/>
                      <w:color w:val="auto"/>
                      <w:lang w:val="en-US" w:eastAsia="zh-CN"/>
                    </w:rPr>
                    <w:t>280m</w:t>
                  </w:r>
                  <w:r>
                    <w:rPr>
                      <w:rFonts w:hint="eastAsia"/>
                      <w:color w:val="auto"/>
                      <w:vertAlign w:val="superscript"/>
                      <w:lang w:val="en-US" w:eastAsia="zh-CN"/>
                    </w:rPr>
                    <w:t>2</w:t>
                  </w:r>
                  <w:r>
                    <w:rPr>
                      <w:rFonts w:hint="eastAsia"/>
                      <w:color w:val="auto"/>
                      <w:lang w:eastAsia="zh-CN"/>
                    </w:rPr>
                    <w:t>）和水厂管理间（占地</w:t>
                  </w:r>
                  <w:r>
                    <w:rPr>
                      <w:rFonts w:hint="eastAsia"/>
                      <w:color w:val="auto"/>
                      <w:lang w:val="en-US" w:eastAsia="zh-CN"/>
                    </w:rPr>
                    <w:t>80m</w:t>
                  </w:r>
                  <w:r>
                    <w:rPr>
                      <w:rFonts w:hint="eastAsia"/>
                      <w:color w:val="auto"/>
                      <w:vertAlign w:val="superscript"/>
                      <w:lang w:val="en-US" w:eastAsia="zh-CN"/>
                    </w:rPr>
                    <w:t>2</w:t>
                  </w:r>
                  <w:r>
                    <w:rPr>
                      <w:rFonts w:hint="eastAsia"/>
                      <w:color w:val="auto"/>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rFonts w:hint="default" w:cs="Times New Roman"/>
                      <w:color w:val="auto"/>
                      <w:lang w:val="en-US" w:eastAsia="zh-CN"/>
                    </w:rPr>
                  </w:pPr>
                  <w:r>
                    <w:rPr>
                      <w:rFonts w:hint="eastAsia" w:cs="Times New Roman"/>
                      <w:color w:val="auto"/>
                      <w:lang w:val="en-US" w:eastAsia="zh-CN"/>
                    </w:rPr>
                    <w:t>3</w:t>
                  </w:r>
                </w:p>
              </w:tc>
              <w:tc>
                <w:tcPr>
                  <w:tcW w:w="1417" w:type="dxa"/>
                  <w:shd w:val="clear" w:color="auto" w:fill="auto"/>
                  <w:vAlign w:val="center"/>
                </w:tcPr>
                <w:p>
                  <w:pPr>
                    <w:pStyle w:val="57"/>
                    <w:ind w:firstLine="0" w:firstLineChars="0"/>
                    <w:rPr>
                      <w:rFonts w:hint="eastAsia"/>
                      <w:color w:val="auto"/>
                      <w:lang w:eastAsia="zh-CN"/>
                    </w:rPr>
                  </w:pPr>
                  <w:r>
                    <w:rPr>
                      <w:rFonts w:hint="eastAsia"/>
                      <w:color w:val="auto"/>
                      <w:lang w:eastAsia="zh-CN"/>
                    </w:rPr>
                    <w:t>防渗补漏</w:t>
                  </w:r>
                </w:p>
              </w:tc>
              <w:tc>
                <w:tcPr>
                  <w:tcW w:w="709" w:type="dxa"/>
                  <w:shd w:val="clear" w:color="auto" w:fill="auto"/>
                  <w:vAlign w:val="center"/>
                </w:tcPr>
                <w:p>
                  <w:pPr>
                    <w:pStyle w:val="57"/>
                    <w:ind w:firstLine="0" w:firstLineChars="0"/>
                    <w:rPr>
                      <w:rFonts w:hint="eastAsia" w:eastAsia="宋体"/>
                      <w:color w:val="auto"/>
                      <w:lang w:val="en-US" w:eastAsia="zh-CN"/>
                    </w:rPr>
                  </w:pPr>
                  <w:r>
                    <w:rPr>
                      <w:rFonts w:hint="eastAsia"/>
                      <w:color w:val="auto"/>
                      <w:lang w:val="en-US" w:eastAsia="zh-CN"/>
                    </w:rPr>
                    <w:t>/</w:t>
                  </w:r>
                </w:p>
              </w:tc>
              <w:tc>
                <w:tcPr>
                  <w:tcW w:w="709" w:type="dxa"/>
                  <w:shd w:val="clear" w:color="auto" w:fill="auto"/>
                  <w:vAlign w:val="center"/>
                </w:tcPr>
                <w:p>
                  <w:pPr>
                    <w:pStyle w:val="57"/>
                    <w:ind w:firstLine="0" w:firstLineChars="0"/>
                    <w:rPr>
                      <w:rFonts w:hint="eastAsia" w:eastAsia="宋体" w:cs="Times New Roman"/>
                      <w:color w:val="auto"/>
                      <w:lang w:val="en-US" w:eastAsia="zh-CN"/>
                    </w:rPr>
                  </w:pPr>
                  <w:r>
                    <w:rPr>
                      <w:rFonts w:hint="eastAsia" w:cs="Times New Roman"/>
                      <w:color w:val="auto"/>
                      <w:lang w:val="en-US" w:eastAsia="zh-CN"/>
                    </w:rPr>
                    <w:t>/</w:t>
                  </w:r>
                </w:p>
              </w:tc>
              <w:tc>
                <w:tcPr>
                  <w:tcW w:w="2056" w:type="dxa"/>
                  <w:shd w:val="clear" w:color="auto" w:fill="auto"/>
                  <w:vAlign w:val="center"/>
                </w:tcPr>
                <w:p>
                  <w:pPr>
                    <w:pStyle w:val="57"/>
                    <w:ind w:firstLine="0" w:firstLineChars="0"/>
                    <w:rPr>
                      <w:rFonts w:hint="default"/>
                      <w:color w:val="auto"/>
                      <w:lang w:val="en-US" w:eastAsia="zh-CN"/>
                    </w:rPr>
                  </w:pPr>
                  <w:r>
                    <w:rPr>
                      <w:rFonts w:hint="eastAsia"/>
                      <w:color w:val="auto"/>
                      <w:lang w:eastAsia="zh-CN"/>
                    </w:rPr>
                    <w:t>防渗墙高度</w:t>
                  </w:r>
                  <w:r>
                    <w:rPr>
                      <w:rFonts w:hint="eastAsia"/>
                      <w:color w:val="auto"/>
                      <w:lang w:val="en-US" w:eastAsia="zh-CN"/>
                    </w:rPr>
                    <w:t>10m</w:t>
                  </w:r>
                </w:p>
              </w:tc>
              <w:tc>
                <w:tcPr>
                  <w:tcW w:w="2911" w:type="dxa"/>
                  <w:shd w:val="clear" w:color="auto" w:fill="auto"/>
                  <w:vAlign w:val="center"/>
                </w:tcPr>
                <w:p>
                  <w:pPr>
                    <w:pStyle w:val="57"/>
                    <w:ind w:firstLine="0" w:firstLineChars="0"/>
                    <w:rPr>
                      <w:rFonts w:hint="eastAsia"/>
                      <w:color w:val="auto"/>
                    </w:rPr>
                  </w:pPr>
                  <w:r>
                    <w:rPr>
                      <w:rFonts w:hint="eastAsia"/>
                      <w:color w:val="auto"/>
                    </w:rPr>
                    <w:t>首先清除渗漏部分的浮土、树根等杂物</w:t>
                  </w:r>
                  <w:r>
                    <w:rPr>
                      <w:rFonts w:hint="eastAsia"/>
                      <w:color w:val="auto"/>
                      <w:lang w:eastAsia="zh-CN"/>
                    </w:rPr>
                    <w:t>，</w:t>
                  </w:r>
                  <w:r>
                    <w:rPr>
                      <w:rFonts w:hint="eastAsia"/>
                      <w:color w:val="auto"/>
                    </w:rPr>
                    <w:t>填压卵石，卵石层填至平整斜坡，边坡比为 1：2.5，卵石层以上填中粗沙厚 0.5，在中粗沙上面铺盖土工膜。再回填粘土层。粘土层边坡 1:2.75。顶层宽为 3m，可根据不同地形，适当增宽。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494" w:type="dxa"/>
                  <w:gridSpan w:val="6"/>
                  <w:shd w:val="clear" w:color="auto" w:fill="auto"/>
                  <w:vAlign w:val="center"/>
                </w:tcPr>
                <w:p>
                  <w:pPr>
                    <w:pStyle w:val="57"/>
                    <w:jc w:val="left"/>
                    <w:rPr>
                      <w:b/>
                      <w:bCs/>
                      <w:color w:val="auto"/>
                    </w:rPr>
                  </w:pPr>
                  <w:r>
                    <w:rPr>
                      <w:rFonts w:hint="eastAsia"/>
                      <w:b/>
                      <w:bCs/>
                      <w:color w:val="auto"/>
                    </w:rPr>
                    <w:t>二、工程规模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rFonts w:cs="Times New Roman"/>
                      <w:color w:val="auto"/>
                    </w:rPr>
                  </w:pPr>
                  <w:r>
                    <w:rPr>
                      <w:rFonts w:cs="Times New Roman"/>
                      <w:color w:val="auto"/>
                    </w:rPr>
                    <w:t>1</w:t>
                  </w:r>
                </w:p>
              </w:tc>
              <w:tc>
                <w:tcPr>
                  <w:tcW w:w="1417" w:type="dxa"/>
                  <w:shd w:val="clear" w:color="auto" w:fill="auto"/>
                  <w:vAlign w:val="center"/>
                </w:tcPr>
                <w:p>
                  <w:pPr>
                    <w:pStyle w:val="57"/>
                    <w:rPr>
                      <w:color w:val="auto"/>
                    </w:rPr>
                  </w:pPr>
                  <w:r>
                    <w:rPr>
                      <w:rFonts w:hint="eastAsia"/>
                      <w:color w:val="auto"/>
                    </w:rPr>
                    <w:t>供水规模</w:t>
                  </w:r>
                </w:p>
              </w:tc>
              <w:tc>
                <w:tcPr>
                  <w:tcW w:w="709" w:type="dxa"/>
                  <w:shd w:val="clear" w:color="auto" w:fill="auto"/>
                  <w:vAlign w:val="center"/>
                </w:tcPr>
                <w:p>
                  <w:pPr>
                    <w:pStyle w:val="57"/>
                    <w:rPr>
                      <w:rFonts w:cs="Times New Roman"/>
                      <w:color w:val="auto"/>
                    </w:rPr>
                  </w:pPr>
                  <w:r>
                    <w:rPr>
                      <w:rFonts w:cs="Times New Roman"/>
                      <w:color w:val="auto"/>
                    </w:rPr>
                    <w:t>m³/d</w:t>
                  </w:r>
                </w:p>
              </w:tc>
              <w:tc>
                <w:tcPr>
                  <w:tcW w:w="709" w:type="dxa"/>
                  <w:shd w:val="clear" w:color="auto" w:fill="auto"/>
                  <w:vAlign w:val="center"/>
                </w:tcPr>
                <w:p>
                  <w:pPr>
                    <w:pStyle w:val="57"/>
                    <w:rPr>
                      <w:rFonts w:hint="default" w:eastAsia="宋体" w:cs="Times New Roman"/>
                      <w:color w:val="auto"/>
                      <w:lang w:val="en-US" w:eastAsia="zh-CN"/>
                    </w:rPr>
                  </w:pPr>
                  <w:r>
                    <w:rPr>
                      <w:rFonts w:hint="eastAsia" w:cs="Times New Roman"/>
                      <w:color w:val="auto"/>
                      <w:lang w:val="en-US" w:eastAsia="zh-CN"/>
                    </w:rPr>
                    <w:t>606</w:t>
                  </w:r>
                </w:p>
              </w:tc>
              <w:tc>
                <w:tcPr>
                  <w:tcW w:w="2056" w:type="dxa"/>
                  <w:shd w:val="clear" w:color="auto" w:fill="auto"/>
                  <w:vAlign w:val="center"/>
                </w:tcPr>
                <w:p>
                  <w:pPr>
                    <w:pStyle w:val="57"/>
                    <w:rPr>
                      <w:rFonts w:cs="Times New Roman"/>
                      <w:color w:val="auto"/>
                    </w:rPr>
                  </w:pPr>
                  <w:r>
                    <w:rPr>
                      <w:rFonts w:cs="Times New Roman"/>
                      <w:color w:val="auto"/>
                    </w:rPr>
                    <w:t>/</w:t>
                  </w:r>
                </w:p>
              </w:tc>
              <w:tc>
                <w:tcPr>
                  <w:tcW w:w="2911" w:type="dxa"/>
                  <w:shd w:val="clear" w:color="auto" w:fill="auto"/>
                  <w:vAlign w:val="center"/>
                </w:tcPr>
                <w:p>
                  <w:pPr>
                    <w:pStyle w:val="57"/>
                    <w:rPr>
                      <w:rFonts w:hint="eastAsia" w:eastAsia="宋体"/>
                      <w:color w:val="auto"/>
                      <w:lang w:eastAsia="zh-CN"/>
                    </w:rPr>
                  </w:pPr>
                  <w:r>
                    <w:rPr>
                      <w:rFonts w:hint="eastAsia"/>
                      <w:color w:val="auto"/>
                    </w:rPr>
                    <w:t>供水范围：</w:t>
                  </w:r>
                  <w:r>
                    <w:rPr>
                      <w:rFonts w:hint="eastAsia"/>
                      <w:color w:val="auto"/>
                      <w:lang w:eastAsia="zh-CN"/>
                    </w:rPr>
                    <w:t>作为补充水源为西江镇区供水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494" w:type="dxa"/>
                  <w:gridSpan w:val="6"/>
                  <w:shd w:val="clear" w:color="auto" w:fill="auto"/>
                  <w:vAlign w:val="center"/>
                </w:tcPr>
                <w:p>
                  <w:pPr>
                    <w:pStyle w:val="57"/>
                    <w:jc w:val="left"/>
                    <w:rPr>
                      <w:b/>
                      <w:bCs/>
                      <w:color w:val="auto"/>
                    </w:rPr>
                  </w:pPr>
                  <w:r>
                    <w:rPr>
                      <w:rFonts w:hint="eastAsia"/>
                      <w:b/>
                      <w:bCs/>
                      <w:color w:val="auto"/>
                    </w:rPr>
                    <w:t>三、工程占地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rFonts w:cs="Times New Roman"/>
                      <w:color w:val="auto"/>
                    </w:rPr>
                  </w:pPr>
                  <w:r>
                    <w:rPr>
                      <w:rFonts w:cs="Times New Roman"/>
                      <w:color w:val="auto"/>
                    </w:rPr>
                    <w:t>1</w:t>
                  </w:r>
                </w:p>
              </w:tc>
              <w:tc>
                <w:tcPr>
                  <w:tcW w:w="1417" w:type="dxa"/>
                  <w:shd w:val="clear" w:color="auto" w:fill="auto"/>
                  <w:vAlign w:val="center"/>
                </w:tcPr>
                <w:p>
                  <w:pPr>
                    <w:pStyle w:val="57"/>
                    <w:rPr>
                      <w:color w:val="auto"/>
                    </w:rPr>
                  </w:pPr>
                  <w:r>
                    <w:rPr>
                      <w:rFonts w:hint="eastAsia"/>
                      <w:color w:val="auto"/>
                    </w:rPr>
                    <w:t>临时占地</w:t>
                  </w:r>
                </w:p>
              </w:tc>
              <w:tc>
                <w:tcPr>
                  <w:tcW w:w="709" w:type="dxa"/>
                  <w:shd w:val="clear" w:color="auto" w:fill="auto"/>
                  <w:vAlign w:val="center"/>
                </w:tcPr>
                <w:p>
                  <w:pPr>
                    <w:pStyle w:val="57"/>
                    <w:rPr>
                      <w:color w:val="auto"/>
                    </w:rPr>
                  </w:pPr>
                  <w:r>
                    <w:rPr>
                      <w:rFonts w:hint="eastAsia"/>
                      <w:color w:val="auto"/>
                    </w:rPr>
                    <w:t>㎡</w:t>
                  </w:r>
                </w:p>
              </w:tc>
              <w:tc>
                <w:tcPr>
                  <w:tcW w:w="709" w:type="dxa"/>
                  <w:shd w:val="clear" w:color="auto" w:fill="auto"/>
                  <w:vAlign w:val="center"/>
                </w:tcPr>
                <w:p>
                  <w:pPr>
                    <w:pStyle w:val="57"/>
                    <w:rPr>
                      <w:rFonts w:hint="default" w:eastAsia="宋体" w:cs="Times New Roman"/>
                      <w:color w:val="auto"/>
                      <w:lang w:val="en-US" w:eastAsia="zh-CN"/>
                    </w:rPr>
                  </w:pPr>
                  <w:r>
                    <w:rPr>
                      <w:rFonts w:hint="eastAsia" w:cs="Times New Roman"/>
                      <w:color w:val="auto"/>
                      <w:lang w:val="en-US" w:eastAsia="zh-CN"/>
                    </w:rPr>
                    <w:t>9417</w:t>
                  </w:r>
                </w:p>
              </w:tc>
              <w:tc>
                <w:tcPr>
                  <w:tcW w:w="2056" w:type="dxa"/>
                  <w:shd w:val="clear" w:color="auto" w:fill="auto"/>
                  <w:vAlign w:val="center"/>
                </w:tcPr>
                <w:p>
                  <w:pPr>
                    <w:pStyle w:val="57"/>
                    <w:rPr>
                      <w:color w:val="auto"/>
                    </w:rPr>
                  </w:pPr>
                  <w:r>
                    <w:rPr>
                      <w:rFonts w:hint="eastAsia" w:cs="Times New Roman"/>
                      <w:color w:val="auto"/>
                    </w:rPr>
                    <w:t>/</w:t>
                  </w:r>
                </w:p>
              </w:tc>
              <w:tc>
                <w:tcPr>
                  <w:tcW w:w="2911" w:type="dxa"/>
                  <w:shd w:val="clear" w:color="auto" w:fill="auto"/>
                  <w:vAlign w:val="center"/>
                </w:tcPr>
                <w:p>
                  <w:pPr>
                    <w:pStyle w:val="57"/>
                    <w:rPr>
                      <w:rFonts w:cs="Times New Roman"/>
                      <w:color w:val="auto"/>
                    </w:rPr>
                  </w:pPr>
                  <w:r>
                    <w:rPr>
                      <w:rFonts w:cs="Times New Roman"/>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shd w:val="clear" w:color="auto" w:fill="auto"/>
                  <w:vAlign w:val="center"/>
                </w:tcPr>
                <w:p>
                  <w:pPr>
                    <w:pStyle w:val="57"/>
                    <w:rPr>
                      <w:rFonts w:cs="Times New Roman"/>
                      <w:color w:val="auto"/>
                    </w:rPr>
                  </w:pPr>
                  <w:r>
                    <w:rPr>
                      <w:rFonts w:cs="Times New Roman"/>
                      <w:color w:val="auto"/>
                    </w:rPr>
                    <w:t>2</w:t>
                  </w:r>
                </w:p>
              </w:tc>
              <w:tc>
                <w:tcPr>
                  <w:tcW w:w="1417" w:type="dxa"/>
                  <w:shd w:val="clear" w:color="auto" w:fill="auto"/>
                  <w:vAlign w:val="center"/>
                </w:tcPr>
                <w:p>
                  <w:pPr>
                    <w:pStyle w:val="57"/>
                    <w:rPr>
                      <w:color w:val="auto"/>
                    </w:rPr>
                  </w:pPr>
                  <w:r>
                    <w:rPr>
                      <w:rFonts w:hint="eastAsia"/>
                      <w:color w:val="auto"/>
                    </w:rPr>
                    <w:t>永久占地</w:t>
                  </w:r>
                </w:p>
              </w:tc>
              <w:tc>
                <w:tcPr>
                  <w:tcW w:w="709" w:type="dxa"/>
                  <w:shd w:val="clear" w:color="auto" w:fill="auto"/>
                  <w:vAlign w:val="center"/>
                </w:tcPr>
                <w:p>
                  <w:pPr>
                    <w:pStyle w:val="57"/>
                    <w:rPr>
                      <w:color w:val="auto"/>
                    </w:rPr>
                  </w:pPr>
                  <w:r>
                    <w:rPr>
                      <w:rFonts w:hint="eastAsia"/>
                      <w:color w:val="auto"/>
                    </w:rPr>
                    <w:t>㎡</w:t>
                  </w:r>
                </w:p>
              </w:tc>
              <w:tc>
                <w:tcPr>
                  <w:tcW w:w="709" w:type="dxa"/>
                  <w:shd w:val="clear" w:color="auto" w:fill="auto"/>
                  <w:vAlign w:val="center"/>
                </w:tcPr>
                <w:p>
                  <w:pPr>
                    <w:pStyle w:val="57"/>
                    <w:rPr>
                      <w:rFonts w:hint="default" w:eastAsia="宋体" w:cs="Times New Roman"/>
                      <w:color w:val="auto"/>
                      <w:lang w:val="en-US" w:eastAsia="zh-CN"/>
                    </w:rPr>
                  </w:pPr>
                  <w:r>
                    <w:rPr>
                      <w:rFonts w:hint="eastAsia" w:cs="Times New Roman"/>
                      <w:color w:val="auto"/>
                      <w:lang w:val="en-US" w:eastAsia="zh-CN"/>
                    </w:rPr>
                    <w:t>360</w:t>
                  </w:r>
                </w:p>
              </w:tc>
              <w:tc>
                <w:tcPr>
                  <w:tcW w:w="2056" w:type="dxa"/>
                  <w:shd w:val="clear" w:color="auto" w:fill="auto"/>
                  <w:vAlign w:val="center"/>
                </w:tcPr>
                <w:p>
                  <w:pPr>
                    <w:pStyle w:val="57"/>
                    <w:rPr>
                      <w:color w:val="auto"/>
                    </w:rPr>
                  </w:pPr>
                  <w:r>
                    <w:rPr>
                      <w:rFonts w:cs="Times New Roman"/>
                      <w:color w:val="auto"/>
                    </w:rPr>
                    <w:t>/</w:t>
                  </w:r>
                </w:p>
              </w:tc>
              <w:tc>
                <w:tcPr>
                  <w:tcW w:w="2911" w:type="dxa"/>
                  <w:shd w:val="clear" w:color="auto" w:fill="auto"/>
                  <w:vAlign w:val="center"/>
                </w:tcPr>
                <w:p>
                  <w:pPr>
                    <w:pStyle w:val="57"/>
                    <w:rPr>
                      <w:rFonts w:cs="Times New Roman"/>
                      <w:color w:val="auto"/>
                    </w:rPr>
                  </w:pPr>
                  <w:r>
                    <w:rPr>
                      <w:rFonts w:hint="eastAsia"/>
                      <w:color w:val="auto"/>
                    </w:rPr>
                    <w:t>永久占地为</w:t>
                  </w:r>
                  <w:r>
                    <w:rPr>
                      <w:rFonts w:hint="eastAsia"/>
                      <w:color w:val="auto"/>
                      <w:lang w:eastAsia="zh-CN"/>
                    </w:rPr>
                    <w:t>管理房</w:t>
                  </w:r>
                  <w:r>
                    <w:rPr>
                      <w:rFonts w:hint="eastAsia"/>
                      <w:color w:val="auto"/>
                    </w:rPr>
                    <w:t>占地面积</w:t>
                  </w:r>
                </w:p>
              </w:tc>
            </w:tr>
          </w:tbl>
          <w:p>
            <w:pPr>
              <w:pStyle w:val="55"/>
              <w:ind w:firstLine="482"/>
              <w:rPr>
                <w:color w:val="auto"/>
              </w:rPr>
            </w:pPr>
            <w:r>
              <w:rPr>
                <w:rFonts w:hint="eastAsia"/>
                <w:color w:val="auto"/>
              </w:rPr>
              <w:t>3、工程原辅料消耗及产品情况</w:t>
            </w:r>
          </w:p>
          <w:p>
            <w:pPr>
              <w:ind w:firstLine="480"/>
              <w:rPr>
                <w:color w:val="auto"/>
              </w:rPr>
            </w:pPr>
            <w:r>
              <w:rPr>
                <w:rFonts w:hint="eastAsia"/>
                <w:color w:val="auto"/>
              </w:rPr>
              <w:t>本工程</w:t>
            </w:r>
            <w:r>
              <w:rPr>
                <w:color w:val="auto"/>
              </w:rPr>
              <w:t>原辅料及产品情况见</w:t>
            </w:r>
            <w:r>
              <w:rPr>
                <w:rFonts w:hint="eastAsia"/>
                <w:color w:val="auto"/>
              </w:rPr>
              <w:t>下</w:t>
            </w:r>
            <w:r>
              <w:rPr>
                <w:color w:val="auto"/>
              </w:rPr>
              <w:t>表。</w:t>
            </w:r>
          </w:p>
          <w:p>
            <w:pPr>
              <w:pStyle w:val="56"/>
              <w:rPr>
                <w:color w:val="auto"/>
              </w:rPr>
            </w:pPr>
            <w:r>
              <w:rPr>
                <w:color w:val="auto"/>
              </w:rPr>
              <w:t>表</w:t>
            </w:r>
            <w:r>
              <w:rPr>
                <w:rFonts w:hint="eastAsia"/>
                <w:color w:val="auto"/>
                <w:lang w:val="en-US" w:eastAsia="zh-CN"/>
              </w:rPr>
              <w:t>1-</w:t>
            </w:r>
            <w:r>
              <w:rPr>
                <w:rFonts w:hint="eastAsia"/>
                <w:color w:val="auto"/>
              </w:rPr>
              <w:t>2</w:t>
            </w:r>
            <w:r>
              <w:rPr>
                <w:color w:val="auto"/>
              </w:rPr>
              <w:t xml:space="preserve">  原辅使用情况一览表</w:t>
            </w:r>
          </w:p>
          <w:tbl>
            <w:tblPr>
              <w:tblStyle w:val="39"/>
              <w:tblW w:w="8495"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87"/>
              <w:gridCol w:w="772"/>
              <w:gridCol w:w="1134"/>
              <w:gridCol w:w="1134"/>
              <w:gridCol w:w="1417"/>
              <w:gridCol w:w="1277"/>
              <w:gridCol w:w="1134"/>
              <w:gridCol w:w="114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259" w:type="dxa"/>
                  <w:gridSpan w:val="2"/>
                  <w:tcBorders>
                    <w:right w:val="single" w:color="auto" w:sz="4" w:space="0"/>
                  </w:tcBorders>
                  <w:vAlign w:val="center"/>
                </w:tcPr>
                <w:p>
                  <w:pPr>
                    <w:pStyle w:val="57"/>
                    <w:rPr>
                      <w:color w:val="auto"/>
                    </w:rPr>
                  </w:pPr>
                  <w:r>
                    <w:rPr>
                      <w:color w:val="auto"/>
                    </w:rPr>
                    <w:t>工程</w:t>
                  </w:r>
                </w:p>
              </w:tc>
              <w:tc>
                <w:tcPr>
                  <w:tcW w:w="1134" w:type="dxa"/>
                  <w:tcBorders>
                    <w:left w:val="single" w:color="auto" w:sz="4" w:space="0"/>
                  </w:tcBorders>
                  <w:vAlign w:val="center"/>
                </w:tcPr>
                <w:p>
                  <w:pPr>
                    <w:pStyle w:val="57"/>
                    <w:rPr>
                      <w:color w:val="auto"/>
                    </w:rPr>
                  </w:pPr>
                  <w:r>
                    <w:rPr>
                      <w:color w:val="auto"/>
                    </w:rPr>
                    <w:t>用量</w:t>
                  </w:r>
                  <w:r>
                    <w:rPr>
                      <w:rFonts w:hint="eastAsia"/>
                      <w:color w:val="auto"/>
                    </w:rPr>
                    <w:t>/年</w:t>
                  </w:r>
                </w:p>
              </w:tc>
              <w:tc>
                <w:tcPr>
                  <w:tcW w:w="1134" w:type="dxa"/>
                  <w:tcBorders>
                    <w:right w:val="single" w:color="auto" w:sz="4" w:space="0"/>
                  </w:tcBorders>
                  <w:vAlign w:val="center"/>
                </w:tcPr>
                <w:p>
                  <w:pPr>
                    <w:pStyle w:val="57"/>
                    <w:rPr>
                      <w:color w:val="auto"/>
                    </w:rPr>
                  </w:pPr>
                  <w:r>
                    <w:rPr>
                      <w:color w:val="auto"/>
                    </w:rPr>
                    <w:t>来源</w:t>
                  </w:r>
                </w:p>
              </w:tc>
              <w:tc>
                <w:tcPr>
                  <w:tcW w:w="1417" w:type="dxa"/>
                  <w:tcBorders>
                    <w:left w:val="single" w:color="auto" w:sz="4" w:space="0"/>
                    <w:right w:val="single" w:color="auto" w:sz="4" w:space="0"/>
                  </w:tcBorders>
                  <w:vAlign w:val="center"/>
                </w:tcPr>
                <w:p>
                  <w:pPr>
                    <w:pStyle w:val="57"/>
                    <w:rPr>
                      <w:color w:val="auto"/>
                    </w:rPr>
                  </w:pPr>
                  <w:r>
                    <w:rPr>
                      <w:color w:val="auto"/>
                    </w:rPr>
                    <w:t>包装</w:t>
                  </w:r>
                  <w:r>
                    <w:rPr>
                      <w:rFonts w:hint="eastAsia"/>
                      <w:color w:val="auto"/>
                    </w:rPr>
                    <w:t>方式</w:t>
                  </w:r>
                </w:p>
              </w:tc>
              <w:tc>
                <w:tcPr>
                  <w:tcW w:w="1277" w:type="dxa"/>
                  <w:tcBorders>
                    <w:left w:val="single" w:color="auto" w:sz="4" w:space="0"/>
                    <w:right w:val="single" w:color="auto" w:sz="4" w:space="0"/>
                  </w:tcBorders>
                  <w:vAlign w:val="center"/>
                </w:tcPr>
                <w:p>
                  <w:pPr>
                    <w:pStyle w:val="57"/>
                    <w:rPr>
                      <w:color w:val="auto"/>
                    </w:rPr>
                  </w:pPr>
                  <w:r>
                    <w:rPr>
                      <w:color w:val="auto"/>
                    </w:rPr>
                    <w:t>最大存储量</w:t>
                  </w:r>
                </w:p>
              </w:tc>
              <w:tc>
                <w:tcPr>
                  <w:tcW w:w="1134" w:type="dxa"/>
                  <w:tcBorders>
                    <w:left w:val="single" w:color="auto" w:sz="4" w:space="0"/>
                  </w:tcBorders>
                  <w:vAlign w:val="center"/>
                </w:tcPr>
                <w:p>
                  <w:pPr>
                    <w:pStyle w:val="57"/>
                    <w:rPr>
                      <w:color w:val="auto"/>
                    </w:rPr>
                  </w:pPr>
                  <w:r>
                    <w:rPr>
                      <w:color w:val="auto"/>
                    </w:rPr>
                    <w:t>储存地点</w:t>
                  </w:r>
                </w:p>
              </w:tc>
              <w:tc>
                <w:tcPr>
                  <w:tcW w:w="1140" w:type="dxa"/>
                  <w:vAlign w:val="center"/>
                </w:tcPr>
                <w:p>
                  <w:pPr>
                    <w:pStyle w:val="57"/>
                    <w:rPr>
                      <w:color w:val="auto"/>
                    </w:rPr>
                  </w:pPr>
                  <w:r>
                    <w:rPr>
                      <w:color w:val="auto"/>
                    </w:rPr>
                    <w:t>用途</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487" w:type="dxa"/>
                  <w:vMerge w:val="restart"/>
                  <w:vAlign w:val="center"/>
                </w:tcPr>
                <w:p>
                  <w:pPr>
                    <w:pStyle w:val="57"/>
                    <w:rPr>
                      <w:color w:val="auto"/>
                    </w:rPr>
                  </w:pPr>
                  <w:r>
                    <w:rPr>
                      <w:rFonts w:hint="eastAsia"/>
                      <w:color w:val="auto"/>
                    </w:rPr>
                    <w:t>原料</w:t>
                  </w:r>
                </w:p>
              </w:tc>
              <w:tc>
                <w:tcPr>
                  <w:tcW w:w="772" w:type="dxa"/>
                  <w:tcBorders>
                    <w:right w:val="single" w:color="auto" w:sz="4" w:space="0"/>
                  </w:tcBorders>
                  <w:vAlign w:val="center"/>
                </w:tcPr>
                <w:p>
                  <w:pPr>
                    <w:pStyle w:val="57"/>
                    <w:rPr>
                      <w:color w:val="auto"/>
                      <w:highlight w:val="none"/>
                    </w:rPr>
                  </w:pPr>
                  <w:r>
                    <w:rPr>
                      <w:color w:val="auto"/>
                      <w:highlight w:val="none"/>
                    </w:rPr>
                    <w:t>次氯酸钠</w:t>
                  </w:r>
                </w:p>
              </w:tc>
              <w:tc>
                <w:tcPr>
                  <w:tcW w:w="1134" w:type="dxa"/>
                  <w:tcBorders>
                    <w:left w:val="single" w:color="auto" w:sz="4" w:space="0"/>
                  </w:tcBorders>
                  <w:vAlign w:val="center"/>
                </w:tcPr>
                <w:p>
                  <w:pPr>
                    <w:pStyle w:val="57"/>
                    <w:rPr>
                      <w:color w:val="auto"/>
                      <w:highlight w:val="none"/>
                    </w:rPr>
                  </w:pPr>
                  <w:r>
                    <w:rPr>
                      <w:rFonts w:hint="eastAsia"/>
                      <w:color w:val="auto"/>
                      <w:highlight w:val="none"/>
                      <w:lang w:eastAsia="zh-CN"/>
                    </w:rPr>
                    <w:t>1</w:t>
                  </w:r>
                  <w:r>
                    <w:rPr>
                      <w:color w:val="auto"/>
                      <w:highlight w:val="none"/>
                    </w:rPr>
                    <w:t>t</w:t>
                  </w:r>
                </w:p>
              </w:tc>
              <w:tc>
                <w:tcPr>
                  <w:tcW w:w="1134" w:type="dxa"/>
                  <w:tcBorders>
                    <w:right w:val="single" w:color="auto" w:sz="4" w:space="0"/>
                  </w:tcBorders>
                  <w:vAlign w:val="center"/>
                </w:tcPr>
                <w:p>
                  <w:pPr>
                    <w:pStyle w:val="57"/>
                    <w:rPr>
                      <w:color w:val="auto"/>
                    </w:rPr>
                  </w:pPr>
                  <w:r>
                    <w:rPr>
                      <w:color w:val="auto"/>
                    </w:rPr>
                    <w:t>外购</w:t>
                  </w:r>
                </w:p>
              </w:tc>
              <w:tc>
                <w:tcPr>
                  <w:tcW w:w="1417" w:type="dxa"/>
                  <w:tcBorders>
                    <w:left w:val="single" w:color="auto" w:sz="4" w:space="0"/>
                    <w:right w:val="single" w:color="auto" w:sz="4" w:space="0"/>
                  </w:tcBorders>
                  <w:vAlign w:val="center"/>
                </w:tcPr>
                <w:p>
                  <w:pPr>
                    <w:pStyle w:val="57"/>
                    <w:rPr>
                      <w:color w:val="auto"/>
                    </w:rPr>
                  </w:pPr>
                  <w:r>
                    <w:rPr>
                      <w:color w:val="auto"/>
                    </w:rPr>
                    <w:t>袋装，汽运</w:t>
                  </w:r>
                </w:p>
              </w:tc>
              <w:tc>
                <w:tcPr>
                  <w:tcW w:w="1277" w:type="dxa"/>
                  <w:tcBorders>
                    <w:left w:val="single" w:color="auto" w:sz="4" w:space="0"/>
                    <w:right w:val="single" w:color="auto" w:sz="4" w:space="0"/>
                  </w:tcBorders>
                  <w:vAlign w:val="center"/>
                </w:tcPr>
                <w:p>
                  <w:pPr>
                    <w:pStyle w:val="57"/>
                    <w:rPr>
                      <w:color w:val="auto"/>
                    </w:rPr>
                  </w:pPr>
                  <w:r>
                    <w:rPr>
                      <w:rFonts w:hint="eastAsia"/>
                      <w:color w:val="auto"/>
                    </w:rPr>
                    <w:t>0.5</w:t>
                  </w:r>
                  <w:r>
                    <w:rPr>
                      <w:color w:val="auto"/>
                    </w:rPr>
                    <w:t>t</w:t>
                  </w:r>
                </w:p>
              </w:tc>
              <w:tc>
                <w:tcPr>
                  <w:tcW w:w="1134" w:type="dxa"/>
                  <w:tcBorders>
                    <w:left w:val="single" w:color="auto" w:sz="4" w:space="0"/>
                  </w:tcBorders>
                  <w:vAlign w:val="center"/>
                </w:tcPr>
                <w:p>
                  <w:pPr>
                    <w:pStyle w:val="57"/>
                    <w:rPr>
                      <w:color w:val="auto"/>
                    </w:rPr>
                  </w:pPr>
                  <w:r>
                    <w:rPr>
                      <w:color w:val="auto"/>
                    </w:rPr>
                    <w:t>加药间</w:t>
                  </w:r>
                </w:p>
              </w:tc>
              <w:tc>
                <w:tcPr>
                  <w:tcW w:w="1140" w:type="dxa"/>
                  <w:vAlign w:val="center"/>
                </w:tcPr>
                <w:p>
                  <w:pPr>
                    <w:pStyle w:val="57"/>
                    <w:rPr>
                      <w:color w:val="auto"/>
                    </w:rPr>
                  </w:pPr>
                  <w:r>
                    <w:rPr>
                      <w:color w:val="auto"/>
                    </w:rPr>
                    <w:t>消毒</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487" w:type="dxa"/>
                  <w:vMerge w:val="continue"/>
                  <w:vAlign w:val="center"/>
                </w:tcPr>
                <w:p>
                  <w:pPr>
                    <w:pStyle w:val="57"/>
                    <w:rPr>
                      <w:color w:val="auto"/>
                    </w:rPr>
                  </w:pPr>
                </w:p>
              </w:tc>
              <w:tc>
                <w:tcPr>
                  <w:tcW w:w="772" w:type="dxa"/>
                  <w:tcBorders>
                    <w:right w:val="single" w:color="auto" w:sz="4" w:space="0"/>
                  </w:tcBorders>
                  <w:vAlign w:val="center"/>
                </w:tcPr>
                <w:p>
                  <w:pPr>
                    <w:pStyle w:val="57"/>
                    <w:rPr>
                      <w:color w:val="auto"/>
                      <w:highlight w:val="none"/>
                    </w:rPr>
                  </w:pPr>
                  <w:r>
                    <w:rPr>
                      <w:rFonts w:hint="eastAsia"/>
                      <w:color w:val="auto"/>
                      <w:highlight w:val="none"/>
                    </w:rPr>
                    <w:t>明矾</w:t>
                  </w:r>
                </w:p>
              </w:tc>
              <w:tc>
                <w:tcPr>
                  <w:tcW w:w="1134" w:type="dxa"/>
                  <w:tcBorders>
                    <w:left w:val="single" w:color="auto" w:sz="4" w:space="0"/>
                  </w:tcBorders>
                  <w:vAlign w:val="center"/>
                </w:tcPr>
                <w:p>
                  <w:pPr>
                    <w:pStyle w:val="57"/>
                    <w:rPr>
                      <w:color w:val="auto"/>
                      <w:highlight w:val="none"/>
                    </w:rPr>
                  </w:pPr>
                  <w:r>
                    <w:rPr>
                      <w:rFonts w:hint="eastAsia"/>
                      <w:color w:val="auto"/>
                      <w:highlight w:val="none"/>
                      <w:lang w:eastAsia="zh-CN"/>
                    </w:rPr>
                    <w:t>2</w:t>
                  </w:r>
                  <w:r>
                    <w:rPr>
                      <w:color w:val="auto"/>
                      <w:highlight w:val="none"/>
                    </w:rPr>
                    <w:t>t</w:t>
                  </w:r>
                </w:p>
              </w:tc>
              <w:tc>
                <w:tcPr>
                  <w:tcW w:w="1134" w:type="dxa"/>
                  <w:tcBorders>
                    <w:right w:val="single" w:color="auto" w:sz="4" w:space="0"/>
                  </w:tcBorders>
                  <w:vAlign w:val="center"/>
                </w:tcPr>
                <w:p>
                  <w:pPr>
                    <w:pStyle w:val="57"/>
                    <w:rPr>
                      <w:color w:val="auto"/>
                    </w:rPr>
                  </w:pPr>
                  <w:r>
                    <w:rPr>
                      <w:color w:val="auto"/>
                    </w:rPr>
                    <w:t>外购</w:t>
                  </w:r>
                </w:p>
              </w:tc>
              <w:tc>
                <w:tcPr>
                  <w:tcW w:w="1417" w:type="dxa"/>
                  <w:tcBorders>
                    <w:left w:val="single" w:color="auto" w:sz="4" w:space="0"/>
                    <w:right w:val="single" w:color="auto" w:sz="4" w:space="0"/>
                  </w:tcBorders>
                  <w:vAlign w:val="center"/>
                </w:tcPr>
                <w:p>
                  <w:pPr>
                    <w:pStyle w:val="57"/>
                    <w:rPr>
                      <w:color w:val="auto"/>
                    </w:rPr>
                  </w:pPr>
                  <w:r>
                    <w:rPr>
                      <w:color w:val="auto"/>
                    </w:rPr>
                    <w:t>袋装，汽运</w:t>
                  </w:r>
                </w:p>
              </w:tc>
              <w:tc>
                <w:tcPr>
                  <w:tcW w:w="1277" w:type="dxa"/>
                  <w:tcBorders>
                    <w:left w:val="single" w:color="auto" w:sz="4" w:space="0"/>
                    <w:right w:val="single" w:color="auto" w:sz="4" w:space="0"/>
                  </w:tcBorders>
                  <w:vAlign w:val="center"/>
                </w:tcPr>
                <w:p>
                  <w:pPr>
                    <w:pStyle w:val="57"/>
                    <w:rPr>
                      <w:color w:val="auto"/>
                    </w:rPr>
                  </w:pPr>
                  <w:r>
                    <w:rPr>
                      <w:rFonts w:hint="eastAsia"/>
                      <w:color w:val="auto"/>
                    </w:rPr>
                    <w:t>0.5</w:t>
                  </w:r>
                  <w:r>
                    <w:rPr>
                      <w:color w:val="auto"/>
                    </w:rPr>
                    <w:t>t</w:t>
                  </w:r>
                </w:p>
              </w:tc>
              <w:tc>
                <w:tcPr>
                  <w:tcW w:w="1134" w:type="dxa"/>
                  <w:tcBorders>
                    <w:left w:val="single" w:color="auto" w:sz="4" w:space="0"/>
                  </w:tcBorders>
                  <w:vAlign w:val="center"/>
                </w:tcPr>
                <w:p>
                  <w:pPr>
                    <w:pStyle w:val="57"/>
                    <w:rPr>
                      <w:color w:val="auto"/>
                    </w:rPr>
                  </w:pPr>
                  <w:r>
                    <w:rPr>
                      <w:color w:val="auto"/>
                    </w:rPr>
                    <w:t>加药间</w:t>
                  </w:r>
                </w:p>
              </w:tc>
              <w:tc>
                <w:tcPr>
                  <w:tcW w:w="1140" w:type="dxa"/>
                  <w:vAlign w:val="center"/>
                </w:tcPr>
                <w:p>
                  <w:pPr>
                    <w:pStyle w:val="57"/>
                    <w:rPr>
                      <w:color w:val="auto"/>
                    </w:rPr>
                  </w:pPr>
                  <w:r>
                    <w:rPr>
                      <w:color w:val="auto"/>
                    </w:rPr>
                    <w:t>絮凝沉淀</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487" w:type="dxa"/>
                  <w:vMerge w:val="continue"/>
                  <w:vAlign w:val="center"/>
                </w:tcPr>
                <w:p>
                  <w:pPr>
                    <w:pStyle w:val="57"/>
                    <w:rPr>
                      <w:color w:val="auto"/>
                    </w:rPr>
                  </w:pPr>
                </w:p>
              </w:tc>
              <w:tc>
                <w:tcPr>
                  <w:tcW w:w="772" w:type="dxa"/>
                  <w:tcBorders>
                    <w:right w:val="single" w:color="auto" w:sz="4" w:space="0"/>
                  </w:tcBorders>
                  <w:vAlign w:val="center"/>
                </w:tcPr>
                <w:p>
                  <w:pPr>
                    <w:pStyle w:val="57"/>
                    <w:rPr>
                      <w:color w:val="auto"/>
                    </w:rPr>
                  </w:pPr>
                  <w:r>
                    <w:rPr>
                      <w:color w:val="auto"/>
                    </w:rPr>
                    <w:t>原水</w:t>
                  </w:r>
                </w:p>
              </w:tc>
              <w:tc>
                <w:tcPr>
                  <w:tcW w:w="1134" w:type="dxa"/>
                  <w:tcBorders>
                    <w:left w:val="single" w:color="auto" w:sz="4" w:space="0"/>
                  </w:tcBorders>
                  <w:vAlign w:val="center"/>
                </w:tcPr>
                <w:p>
                  <w:pPr>
                    <w:pStyle w:val="57"/>
                    <w:rPr>
                      <w:color w:val="auto"/>
                    </w:rPr>
                  </w:pPr>
                  <w:r>
                    <w:rPr>
                      <w:rFonts w:hint="eastAsia"/>
                      <w:color w:val="auto"/>
                      <w:lang w:val="en-US" w:eastAsia="zh-CN"/>
                    </w:rPr>
                    <w:t>606</w:t>
                  </w:r>
                  <w:r>
                    <w:rPr>
                      <w:color w:val="auto"/>
                    </w:rPr>
                    <w:t>m³/d</w:t>
                  </w:r>
                </w:p>
              </w:tc>
              <w:tc>
                <w:tcPr>
                  <w:tcW w:w="1134" w:type="dxa"/>
                  <w:tcBorders>
                    <w:right w:val="single" w:color="auto" w:sz="4" w:space="0"/>
                  </w:tcBorders>
                  <w:vAlign w:val="center"/>
                </w:tcPr>
                <w:p>
                  <w:pPr>
                    <w:pStyle w:val="57"/>
                    <w:rPr>
                      <w:color w:val="auto"/>
                    </w:rPr>
                  </w:pPr>
                  <w:r>
                    <w:rPr>
                      <w:rFonts w:hint="eastAsia"/>
                      <w:color w:val="auto"/>
                      <w:lang w:eastAsia="zh-CN"/>
                    </w:rPr>
                    <w:t>八一</w:t>
                  </w:r>
                  <w:r>
                    <w:rPr>
                      <w:color w:val="auto"/>
                    </w:rPr>
                    <w:t>水库</w:t>
                  </w:r>
                </w:p>
              </w:tc>
              <w:tc>
                <w:tcPr>
                  <w:tcW w:w="1417" w:type="dxa"/>
                  <w:tcBorders>
                    <w:left w:val="single" w:color="auto" w:sz="4" w:space="0"/>
                    <w:right w:val="single" w:color="auto" w:sz="4" w:space="0"/>
                  </w:tcBorders>
                  <w:vAlign w:val="center"/>
                </w:tcPr>
                <w:p>
                  <w:pPr>
                    <w:pStyle w:val="57"/>
                    <w:rPr>
                      <w:color w:val="auto"/>
                    </w:rPr>
                  </w:pPr>
                  <w:r>
                    <w:rPr>
                      <w:color w:val="auto"/>
                    </w:rPr>
                    <w:t>管道输送</w:t>
                  </w:r>
                </w:p>
              </w:tc>
              <w:tc>
                <w:tcPr>
                  <w:tcW w:w="1277" w:type="dxa"/>
                  <w:tcBorders>
                    <w:left w:val="single" w:color="auto" w:sz="4" w:space="0"/>
                    <w:right w:val="single" w:color="auto" w:sz="4" w:space="0"/>
                  </w:tcBorders>
                  <w:vAlign w:val="center"/>
                </w:tcPr>
                <w:p>
                  <w:pPr>
                    <w:pStyle w:val="57"/>
                    <w:rPr>
                      <w:color w:val="auto"/>
                    </w:rPr>
                  </w:pPr>
                  <w:r>
                    <w:rPr>
                      <w:color w:val="auto"/>
                    </w:rPr>
                    <w:t>/</w:t>
                  </w:r>
                </w:p>
              </w:tc>
              <w:tc>
                <w:tcPr>
                  <w:tcW w:w="1134" w:type="dxa"/>
                  <w:tcBorders>
                    <w:left w:val="single" w:color="auto" w:sz="4" w:space="0"/>
                  </w:tcBorders>
                  <w:vAlign w:val="center"/>
                </w:tcPr>
                <w:p>
                  <w:pPr>
                    <w:pStyle w:val="57"/>
                    <w:rPr>
                      <w:color w:val="auto"/>
                    </w:rPr>
                  </w:pPr>
                  <w:r>
                    <w:rPr>
                      <w:color w:val="auto"/>
                    </w:rPr>
                    <w:t>/</w:t>
                  </w:r>
                </w:p>
              </w:tc>
              <w:tc>
                <w:tcPr>
                  <w:tcW w:w="1140" w:type="dxa"/>
                  <w:tcBorders>
                    <w:top w:val="single" w:color="auto" w:sz="4" w:space="0"/>
                  </w:tcBorders>
                  <w:vAlign w:val="center"/>
                </w:tcPr>
                <w:p>
                  <w:pPr>
                    <w:pStyle w:val="57"/>
                    <w:rPr>
                      <w:color w:val="auto"/>
                    </w:rPr>
                  </w:pPr>
                  <w:r>
                    <w:rPr>
                      <w:color w:val="auto"/>
                    </w:rPr>
                    <w:t>原料</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487" w:type="dxa"/>
                  <w:vAlign w:val="center"/>
                </w:tcPr>
                <w:p>
                  <w:pPr>
                    <w:pStyle w:val="57"/>
                    <w:rPr>
                      <w:color w:val="auto"/>
                    </w:rPr>
                  </w:pPr>
                  <w:r>
                    <w:rPr>
                      <w:color w:val="auto"/>
                    </w:rPr>
                    <w:t>能耗</w:t>
                  </w:r>
                </w:p>
              </w:tc>
              <w:tc>
                <w:tcPr>
                  <w:tcW w:w="772" w:type="dxa"/>
                  <w:tcBorders>
                    <w:right w:val="single" w:color="auto" w:sz="4" w:space="0"/>
                  </w:tcBorders>
                  <w:vAlign w:val="center"/>
                </w:tcPr>
                <w:p>
                  <w:pPr>
                    <w:pStyle w:val="57"/>
                    <w:rPr>
                      <w:color w:val="auto"/>
                    </w:rPr>
                  </w:pPr>
                  <w:r>
                    <w:rPr>
                      <w:color w:val="auto"/>
                    </w:rPr>
                    <w:t>电</w:t>
                  </w:r>
                </w:p>
              </w:tc>
              <w:tc>
                <w:tcPr>
                  <w:tcW w:w="1134" w:type="dxa"/>
                  <w:tcBorders>
                    <w:left w:val="single" w:color="auto" w:sz="4" w:space="0"/>
                  </w:tcBorders>
                  <w:vAlign w:val="center"/>
                </w:tcPr>
                <w:p>
                  <w:pPr>
                    <w:pStyle w:val="57"/>
                    <w:rPr>
                      <w:color w:val="auto"/>
                    </w:rPr>
                  </w:pPr>
                  <w:r>
                    <w:rPr>
                      <w:rFonts w:hint="eastAsia"/>
                      <w:color w:val="auto"/>
                      <w:lang w:val="en-US" w:eastAsia="zh-CN"/>
                    </w:rPr>
                    <w:t>1000</w:t>
                  </w:r>
                  <w:r>
                    <w:rPr>
                      <w:color w:val="auto"/>
                    </w:rPr>
                    <w:t>度</w:t>
                  </w:r>
                </w:p>
              </w:tc>
              <w:tc>
                <w:tcPr>
                  <w:tcW w:w="1134" w:type="dxa"/>
                  <w:tcBorders>
                    <w:right w:val="single" w:color="auto" w:sz="4" w:space="0"/>
                  </w:tcBorders>
                  <w:vAlign w:val="center"/>
                </w:tcPr>
                <w:p>
                  <w:pPr>
                    <w:pStyle w:val="57"/>
                    <w:rPr>
                      <w:color w:val="auto"/>
                    </w:rPr>
                  </w:pPr>
                  <w:r>
                    <w:rPr>
                      <w:color w:val="auto"/>
                    </w:rPr>
                    <w:t>市政供电</w:t>
                  </w:r>
                </w:p>
              </w:tc>
              <w:tc>
                <w:tcPr>
                  <w:tcW w:w="1417" w:type="dxa"/>
                  <w:tcBorders>
                    <w:left w:val="single" w:color="auto" w:sz="4" w:space="0"/>
                    <w:right w:val="single" w:color="auto" w:sz="4" w:space="0"/>
                  </w:tcBorders>
                  <w:vAlign w:val="center"/>
                </w:tcPr>
                <w:p>
                  <w:pPr>
                    <w:pStyle w:val="57"/>
                    <w:rPr>
                      <w:color w:val="auto"/>
                    </w:rPr>
                  </w:pPr>
                  <w:r>
                    <w:rPr>
                      <w:color w:val="auto"/>
                    </w:rPr>
                    <w:t>/</w:t>
                  </w:r>
                </w:p>
              </w:tc>
              <w:tc>
                <w:tcPr>
                  <w:tcW w:w="1277" w:type="dxa"/>
                  <w:tcBorders>
                    <w:left w:val="single" w:color="auto" w:sz="4" w:space="0"/>
                    <w:right w:val="single" w:color="auto" w:sz="4" w:space="0"/>
                  </w:tcBorders>
                  <w:vAlign w:val="center"/>
                </w:tcPr>
                <w:p>
                  <w:pPr>
                    <w:pStyle w:val="57"/>
                    <w:rPr>
                      <w:color w:val="auto"/>
                    </w:rPr>
                  </w:pPr>
                  <w:r>
                    <w:rPr>
                      <w:color w:val="auto"/>
                    </w:rPr>
                    <w:t>/</w:t>
                  </w:r>
                </w:p>
              </w:tc>
              <w:tc>
                <w:tcPr>
                  <w:tcW w:w="1134" w:type="dxa"/>
                  <w:tcBorders>
                    <w:left w:val="single" w:color="auto" w:sz="4" w:space="0"/>
                  </w:tcBorders>
                  <w:vAlign w:val="center"/>
                </w:tcPr>
                <w:p>
                  <w:pPr>
                    <w:pStyle w:val="57"/>
                    <w:rPr>
                      <w:color w:val="auto"/>
                    </w:rPr>
                  </w:pPr>
                  <w:r>
                    <w:rPr>
                      <w:color w:val="auto"/>
                    </w:rPr>
                    <w:t>/</w:t>
                  </w:r>
                </w:p>
              </w:tc>
              <w:tc>
                <w:tcPr>
                  <w:tcW w:w="1140" w:type="dxa"/>
                  <w:vAlign w:val="center"/>
                </w:tcPr>
                <w:p>
                  <w:pPr>
                    <w:pStyle w:val="57"/>
                    <w:rPr>
                      <w:color w:val="auto"/>
                    </w:rPr>
                  </w:pPr>
                  <w:r>
                    <w:rPr>
                      <w:color w:val="auto"/>
                    </w:rPr>
                    <w:t>供电</w:t>
                  </w:r>
                </w:p>
              </w:tc>
            </w:tr>
          </w:tbl>
          <w:p>
            <w:pPr>
              <w:pStyle w:val="56"/>
              <w:rPr>
                <w:color w:val="auto"/>
              </w:rPr>
            </w:pPr>
            <w:r>
              <w:rPr>
                <w:color w:val="auto"/>
              </w:rPr>
              <w:t>表</w:t>
            </w:r>
            <w:r>
              <w:rPr>
                <w:rFonts w:hint="eastAsia"/>
                <w:color w:val="auto"/>
                <w:lang w:val="en-US" w:eastAsia="zh-CN"/>
              </w:rPr>
              <w:t>1-</w:t>
            </w:r>
            <w:r>
              <w:rPr>
                <w:rFonts w:hint="eastAsia"/>
                <w:color w:val="auto"/>
              </w:rPr>
              <w:t>3</w:t>
            </w:r>
            <w:r>
              <w:rPr>
                <w:color w:val="auto"/>
              </w:rPr>
              <w:t xml:space="preserve">  产品情况一览表</w:t>
            </w:r>
          </w:p>
          <w:tbl>
            <w:tblPr>
              <w:tblStyle w:val="39"/>
              <w:tblW w:w="849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603"/>
              <w:gridCol w:w="1454"/>
              <w:gridCol w:w="1560"/>
              <w:gridCol w:w="255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320" w:type="dxa"/>
                  <w:vAlign w:val="center"/>
                </w:tcPr>
                <w:p>
                  <w:pPr>
                    <w:pStyle w:val="57"/>
                    <w:rPr>
                      <w:color w:val="auto"/>
                    </w:rPr>
                  </w:pPr>
                  <w:r>
                    <w:rPr>
                      <w:color w:val="auto"/>
                    </w:rPr>
                    <w:t>序号</w:t>
                  </w:r>
                </w:p>
              </w:tc>
              <w:tc>
                <w:tcPr>
                  <w:tcW w:w="1603" w:type="dxa"/>
                  <w:vAlign w:val="center"/>
                </w:tcPr>
                <w:p>
                  <w:pPr>
                    <w:pStyle w:val="57"/>
                    <w:rPr>
                      <w:color w:val="auto"/>
                    </w:rPr>
                  </w:pPr>
                  <w:r>
                    <w:rPr>
                      <w:color w:val="auto"/>
                    </w:rPr>
                    <w:t>产品名</w:t>
                  </w:r>
                </w:p>
              </w:tc>
              <w:tc>
                <w:tcPr>
                  <w:tcW w:w="1454" w:type="dxa"/>
                  <w:vAlign w:val="center"/>
                </w:tcPr>
                <w:p>
                  <w:pPr>
                    <w:pStyle w:val="57"/>
                    <w:rPr>
                      <w:color w:val="auto"/>
                    </w:rPr>
                  </w:pPr>
                  <w:r>
                    <w:rPr>
                      <w:color w:val="auto"/>
                    </w:rPr>
                    <w:t>产量</w:t>
                  </w:r>
                </w:p>
              </w:tc>
              <w:tc>
                <w:tcPr>
                  <w:tcW w:w="1560" w:type="dxa"/>
                  <w:vAlign w:val="center"/>
                </w:tcPr>
                <w:p>
                  <w:pPr>
                    <w:pStyle w:val="57"/>
                    <w:rPr>
                      <w:color w:val="auto"/>
                    </w:rPr>
                  </w:pPr>
                  <w:r>
                    <w:rPr>
                      <w:color w:val="auto"/>
                    </w:rPr>
                    <w:t>储运方式</w:t>
                  </w:r>
                </w:p>
              </w:tc>
              <w:tc>
                <w:tcPr>
                  <w:tcW w:w="2557" w:type="dxa"/>
                  <w:vAlign w:val="center"/>
                </w:tcPr>
                <w:p>
                  <w:pPr>
                    <w:pStyle w:val="57"/>
                    <w:rPr>
                      <w:color w:val="auto"/>
                    </w:rPr>
                  </w:pPr>
                  <w:r>
                    <w:rPr>
                      <w:color w:val="auto"/>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320" w:type="dxa"/>
                  <w:vAlign w:val="center"/>
                </w:tcPr>
                <w:p>
                  <w:pPr>
                    <w:pStyle w:val="57"/>
                    <w:rPr>
                      <w:color w:val="auto"/>
                    </w:rPr>
                  </w:pPr>
                  <w:r>
                    <w:rPr>
                      <w:color w:val="auto"/>
                    </w:rPr>
                    <w:t>1</w:t>
                  </w:r>
                </w:p>
              </w:tc>
              <w:tc>
                <w:tcPr>
                  <w:tcW w:w="1603" w:type="dxa"/>
                  <w:vAlign w:val="center"/>
                </w:tcPr>
                <w:p>
                  <w:pPr>
                    <w:pStyle w:val="57"/>
                    <w:rPr>
                      <w:color w:val="auto"/>
                    </w:rPr>
                  </w:pPr>
                  <w:r>
                    <w:rPr>
                      <w:color w:val="auto"/>
                    </w:rPr>
                    <w:t>自来水</w:t>
                  </w:r>
                </w:p>
              </w:tc>
              <w:tc>
                <w:tcPr>
                  <w:tcW w:w="1454" w:type="dxa"/>
                  <w:vAlign w:val="center"/>
                </w:tcPr>
                <w:p>
                  <w:pPr>
                    <w:pStyle w:val="57"/>
                    <w:rPr>
                      <w:color w:val="auto"/>
                    </w:rPr>
                  </w:pPr>
                  <w:r>
                    <w:rPr>
                      <w:rFonts w:hint="eastAsia"/>
                      <w:color w:val="auto"/>
                      <w:lang w:val="en-US" w:eastAsia="zh-CN"/>
                    </w:rPr>
                    <w:t>606</w:t>
                  </w:r>
                  <w:r>
                    <w:rPr>
                      <w:color w:val="auto"/>
                    </w:rPr>
                    <w:t>m³/d</w:t>
                  </w:r>
                </w:p>
              </w:tc>
              <w:tc>
                <w:tcPr>
                  <w:tcW w:w="1560" w:type="dxa"/>
                  <w:vAlign w:val="center"/>
                </w:tcPr>
                <w:p>
                  <w:pPr>
                    <w:pStyle w:val="57"/>
                    <w:rPr>
                      <w:color w:val="auto"/>
                    </w:rPr>
                  </w:pPr>
                  <w:r>
                    <w:rPr>
                      <w:color w:val="auto"/>
                    </w:rPr>
                    <w:t>管道输送</w:t>
                  </w:r>
                </w:p>
              </w:tc>
              <w:tc>
                <w:tcPr>
                  <w:tcW w:w="2557" w:type="dxa"/>
                  <w:vAlign w:val="center"/>
                </w:tcPr>
                <w:p>
                  <w:pPr>
                    <w:pStyle w:val="57"/>
                    <w:rPr>
                      <w:color w:val="auto"/>
                    </w:rPr>
                  </w:pPr>
                  <w:r>
                    <w:rPr>
                      <w:color w:val="auto"/>
                    </w:rPr>
                    <w:t>为</w:t>
                  </w:r>
                  <w:r>
                    <w:rPr>
                      <w:rFonts w:hint="eastAsia"/>
                      <w:color w:val="auto"/>
                      <w:lang w:eastAsia="zh-CN"/>
                    </w:rPr>
                    <w:t>西江镇区</w:t>
                  </w:r>
                  <w:r>
                    <w:rPr>
                      <w:color w:val="auto"/>
                    </w:rPr>
                    <w:t>供水</w:t>
                  </w:r>
                </w:p>
              </w:tc>
            </w:tr>
          </w:tbl>
          <w:p>
            <w:pPr>
              <w:pStyle w:val="55"/>
              <w:ind w:firstLine="482"/>
              <w:rPr>
                <w:color w:val="auto"/>
              </w:rPr>
            </w:pPr>
            <w:r>
              <w:rPr>
                <w:rFonts w:hint="eastAsia"/>
                <w:color w:val="auto"/>
              </w:rPr>
              <w:t>4、</w:t>
            </w:r>
            <w:r>
              <w:rPr>
                <w:color w:val="auto"/>
              </w:rPr>
              <w:t>主要生产设备情况</w:t>
            </w:r>
          </w:p>
          <w:p>
            <w:pPr>
              <w:ind w:firstLine="480"/>
              <w:rPr>
                <w:color w:val="auto"/>
              </w:rPr>
            </w:pPr>
            <w:r>
              <w:rPr>
                <w:rFonts w:hint="eastAsia"/>
                <w:color w:val="auto"/>
              </w:rPr>
              <w:t>本工程</w:t>
            </w:r>
            <w:r>
              <w:rPr>
                <w:rFonts w:hint="eastAsia"/>
                <w:color w:val="auto"/>
                <w:lang w:eastAsia="zh-CN"/>
              </w:rPr>
              <w:t>的</w:t>
            </w:r>
            <w:r>
              <w:rPr>
                <w:rFonts w:hint="eastAsia"/>
                <w:color w:val="auto"/>
              </w:rPr>
              <w:t>生产设备</w:t>
            </w:r>
            <w:r>
              <w:rPr>
                <w:rFonts w:hint="eastAsia"/>
                <w:color w:val="auto"/>
                <w:lang w:eastAsia="zh-CN"/>
              </w:rPr>
              <w:t>主要为一台加药泵，具体参数</w:t>
            </w:r>
            <w:r>
              <w:rPr>
                <w:rFonts w:hint="eastAsia"/>
                <w:color w:val="auto"/>
              </w:rPr>
              <w:t>见下表。</w:t>
            </w:r>
          </w:p>
          <w:p>
            <w:pPr>
              <w:pStyle w:val="56"/>
              <w:rPr>
                <w:color w:val="auto"/>
              </w:rPr>
            </w:pPr>
            <w:r>
              <w:rPr>
                <w:color w:val="auto"/>
              </w:rPr>
              <w:t>表</w:t>
            </w:r>
            <w:r>
              <w:rPr>
                <w:rFonts w:hint="eastAsia"/>
                <w:color w:val="auto"/>
                <w:lang w:val="en-US" w:eastAsia="zh-CN"/>
              </w:rPr>
              <w:t>1-</w:t>
            </w:r>
            <w:r>
              <w:rPr>
                <w:rFonts w:hint="eastAsia"/>
                <w:color w:val="auto"/>
              </w:rPr>
              <w:t>4</w:t>
            </w:r>
            <w:r>
              <w:rPr>
                <w:color w:val="auto"/>
              </w:rPr>
              <w:t xml:space="preserve">  主要设备一览表</w:t>
            </w:r>
          </w:p>
          <w:tbl>
            <w:tblPr>
              <w:tblStyle w:val="39"/>
              <w:tblW w:w="849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34"/>
              <w:gridCol w:w="1701"/>
              <w:gridCol w:w="2835"/>
              <w:gridCol w:w="1011"/>
              <w:gridCol w:w="211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834" w:type="dxa"/>
                  <w:vAlign w:val="center"/>
                </w:tcPr>
                <w:p>
                  <w:pPr>
                    <w:pStyle w:val="57"/>
                    <w:rPr>
                      <w:color w:val="auto"/>
                    </w:rPr>
                  </w:pPr>
                  <w:r>
                    <w:rPr>
                      <w:color w:val="auto"/>
                    </w:rPr>
                    <w:t>序号</w:t>
                  </w:r>
                </w:p>
              </w:tc>
              <w:tc>
                <w:tcPr>
                  <w:tcW w:w="1701" w:type="dxa"/>
                  <w:vAlign w:val="center"/>
                </w:tcPr>
                <w:p>
                  <w:pPr>
                    <w:pStyle w:val="57"/>
                    <w:rPr>
                      <w:color w:val="auto"/>
                    </w:rPr>
                  </w:pPr>
                  <w:r>
                    <w:rPr>
                      <w:color w:val="auto"/>
                    </w:rPr>
                    <w:t>设备</w:t>
                  </w:r>
                </w:p>
              </w:tc>
              <w:tc>
                <w:tcPr>
                  <w:tcW w:w="2835" w:type="dxa"/>
                  <w:vAlign w:val="center"/>
                </w:tcPr>
                <w:p>
                  <w:pPr>
                    <w:pStyle w:val="57"/>
                    <w:rPr>
                      <w:color w:val="auto"/>
                    </w:rPr>
                  </w:pPr>
                  <w:r>
                    <w:rPr>
                      <w:color w:val="auto"/>
                    </w:rPr>
                    <w:t>型号或规格</w:t>
                  </w:r>
                </w:p>
              </w:tc>
              <w:tc>
                <w:tcPr>
                  <w:tcW w:w="1011" w:type="dxa"/>
                  <w:vAlign w:val="center"/>
                </w:tcPr>
                <w:p>
                  <w:pPr>
                    <w:pStyle w:val="57"/>
                    <w:rPr>
                      <w:color w:val="auto"/>
                    </w:rPr>
                  </w:pPr>
                  <w:r>
                    <w:rPr>
                      <w:color w:val="auto"/>
                    </w:rPr>
                    <w:t>数量</w:t>
                  </w:r>
                </w:p>
              </w:tc>
              <w:tc>
                <w:tcPr>
                  <w:tcW w:w="2113" w:type="dxa"/>
                  <w:vAlign w:val="center"/>
                </w:tcPr>
                <w:p>
                  <w:pPr>
                    <w:pStyle w:val="57"/>
                    <w:rPr>
                      <w:color w:val="auto"/>
                    </w:rPr>
                  </w:pPr>
                  <w:r>
                    <w:rPr>
                      <w:color w:val="auto"/>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834" w:type="dxa"/>
                  <w:vAlign w:val="center"/>
                </w:tcPr>
                <w:p>
                  <w:pPr>
                    <w:pStyle w:val="57"/>
                    <w:rPr>
                      <w:color w:val="auto"/>
                    </w:rPr>
                  </w:pPr>
                  <w:r>
                    <w:rPr>
                      <w:rStyle w:val="44"/>
                      <w:color w:val="auto"/>
                    </w:rPr>
                    <w:t>1</w:t>
                  </w:r>
                </w:p>
              </w:tc>
              <w:tc>
                <w:tcPr>
                  <w:tcW w:w="1701" w:type="dxa"/>
                  <w:vAlign w:val="center"/>
                </w:tcPr>
                <w:p>
                  <w:pPr>
                    <w:pStyle w:val="57"/>
                    <w:rPr>
                      <w:color w:val="auto"/>
                    </w:rPr>
                  </w:pPr>
                  <w:r>
                    <w:rPr>
                      <w:rFonts w:hint="eastAsia"/>
                      <w:color w:val="auto"/>
                    </w:rPr>
                    <w:t>加药泵</w:t>
                  </w:r>
                </w:p>
              </w:tc>
              <w:tc>
                <w:tcPr>
                  <w:tcW w:w="2835" w:type="dxa"/>
                  <w:vAlign w:val="center"/>
                </w:tcPr>
                <w:p>
                  <w:pPr>
                    <w:pStyle w:val="57"/>
                    <w:rPr>
                      <w:color w:val="auto"/>
                    </w:rPr>
                  </w:pPr>
                  <w:r>
                    <w:rPr>
                      <w:rFonts w:hint="eastAsia"/>
                      <w:color w:val="auto"/>
                    </w:rPr>
                    <w:t>型号：JGX-80/0.5</w:t>
                  </w:r>
                </w:p>
                <w:p>
                  <w:pPr>
                    <w:pStyle w:val="57"/>
                    <w:rPr>
                      <w:color w:val="auto"/>
                    </w:rPr>
                  </w:pPr>
                  <w:r>
                    <w:rPr>
                      <w:rFonts w:hint="eastAsia"/>
                      <w:color w:val="auto"/>
                    </w:rPr>
                    <w:t>最大压力：0.5MPa</w:t>
                  </w:r>
                </w:p>
                <w:p>
                  <w:pPr>
                    <w:pStyle w:val="57"/>
                    <w:rPr>
                      <w:color w:val="auto"/>
                    </w:rPr>
                  </w:pPr>
                  <w:r>
                    <w:rPr>
                      <w:rFonts w:hint="eastAsia"/>
                      <w:color w:val="auto"/>
                    </w:rPr>
                    <w:t>设计流量：80L/h</w:t>
                  </w:r>
                </w:p>
                <w:p>
                  <w:pPr>
                    <w:pStyle w:val="57"/>
                    <w:rPr>
                      <w:color w:val="auto"/>
                    </w:rPr>
                  </w:pPr>
                  <w:r>
                    <w:rPr>
                      <w:rFonts w:hint="eastAsia"/>
                      <w:color w:val="auto"/>
                    </w:rPr>
                    <w:t>功率：90w</w:t>
                  </w:r>
                </w:p>
              </w:tc>
              <w:tc>
                <w:tcPr>
                  <w:tcW w:w="1011" w:type="dxa"/>
                  <w:vAlign w:val="center"/>
                </w:tcPr>
                <w:p>
                  <w:pPr>
                    <w:pStyle w:val="57"/>
                    <w:rPr>
                      <w:color w:val="auto"/>
                    </w:rPr>
                  </w:pPr>
                  <w:r>
                    <w:rPr>
                      <w:rFonts w:hint="eastAsia"/>
                      <w:color w:val="auto"/>
                    </w:rPr>
                    <w:t>1台</w:t>
                  </w:r>
                </w:p>
              </w:tc>
              <w:tc>
                <w:tcPr>
                  <w:tcW w:w="2113" w:type="dxa"/>
                  <w:vAlign w:val="center"/>
                </w:tcPr>
                <w:p>
                  <w:pPr>
                    <w:pStyle w:val="57"/>
                    <w:rPr>
                      <w:color w:val="auto"/>
                    </w:rPr>
                  </w:pPr>
                  <w:r>
                    <w:rPr>
                      <w:rFonts w:hint="eastAsia"/>
                      <w:color w:val="auto"/>
                    </w:rPr>
                    <w:t>DN15硬管连接</w:t>
                  </w:r>
                </w:p>
              </w:tc>
            </w:tr>
          </w:tbl>
          <w:p>
            <w:pPr>
              <w:pStyle w:val="55"/>
              <w:ind w:firstLine="482"/>
              <w:rPr>
                <w:color w:val="auto"/>
              </w:rPr>
            </w:pPr>
            <w:r>
              <w:rPr>
                <w:rFonts w:hint="eastAsia"/>
                <w:color w:val="auto"/>
              </w:rPr>
              <w:t>5、项目劳动定员和工作制度</w:t>
            </w:r>
          </w:p>
          <w:p>
            <w:pPr>
              <w:ind w:firstLine="480"/>
              <w:rPr>
                <w:color w:val="auto"/>
              </w:rPr>
            </w:pPr>
            <w:r>
              <w:rPr>
                <w:rFonts w:hint="eastAsia"/>
                <w:color w:val="auto"/>
                <w:highlight w:val="none"/>
              </w:rPr>
              <w:t>本工程拟聘员工</w:t>
            </w:r>
            <w:r>
              <w:rPr>
                <w:rFonts w:hint="eastAsia"/>
                <w:color w:val="auto"/>
                <w:highlight w:val="none"/>
                <w:lang w:val="en-US" w:eastAsia="zh-CN"/>
              </w:rPr>
              <w:t>4</w:t>
            </w:r>
            <w:r>
              <w:rPr>
                <w:rFonts w:hint="eastAsia"/>
                <w:color w:val="auto"/>
                <w:highlight w:val="none"/>
              </w:rPr>
              <w:t>人</w:t>
            </w:r>
            <w:r>
              <w:rPr>
                <w:rFonts w:hint="eastAsia"/>
                <w:color w:val="auto"/>
                <w:highlight w:val="none"/>
                <w:lang w:eastAsia="zh-CN"/>
              </w:rPr>
              <w:t>，员工不</w:t>
            </w:r>
            <w:r>
              <w:rPr>
                <w:rFonts w:hint="eastAsia"/>
                <w:color w:val="auto"/>
              </w:rPr>
              <w:t>在厂内</w:t>
            </w:r>
            <w:r>
              <w:rPr>
                <w:rFonts w:hint="eastAsia"/>
                <w:color w:val="auto"/>
                <w:lang w:eastAsia="zh-CN"/>
              </w:rPr>
              <w:t>住宿，仅在厂内用餐，</w:t>
            </w:r>
            <w:r>
              <w:rPr>
                <w:rFonts w:hint="eastAsia"/>
                <w:color w:val="auto"/>
              </w:rPr>
              <w:t>工作制度采用三班制，每班8小时，全年工作365天。</w:t>
            </w:r>
          </w:p>
          <w:p>
            <w:pPr>
              <w:pStyle w:val="55"/>
              <w:ind w:firstLine="482"/>
              <w:rPr>
                <w:color w:val="auto"/>
              </w:rPr>
            </w:pPr>
            <w:r>
              <w:rPr>
                <w:color w:val="auto"/>
              </w:rPr>
              <w:t>6</w:t>
            </w:r>
            <w:r>
              <w:rPr>
                <w:rFonts w:hint="eastAsia"/>
                <w:color w:val="auto"/>
              </w:rPr>
              <w:t>、</w:t>
            </w:r>
            <w:r>
              <w:rPr>
                <w:color w:val="auto"/>
              </w:rPr>
              <w:t>项目公用配套工程</w:t>
            </w:r>
          </w:p>
          <w:p>
            <w:pPr>
              <w:ind w:firstLine="480"/>
              <w:rPr>
                <w:color w:val="auto"/>
              </w:rPr>
            </w:pPr>
            <w:r>
              <w:rPr>
                <w:rFonts w:hint="eastAsia" w:ascii="宋体" w:hAnsi="宋体" w:cs="宋体"/>
                <w:color w:val="auto"/>
              </w:rPr>
              <w:t>（1）</w:t>
            </w:r>
            <w:r>
              <w:rPr>
                <w:color w:val="auto"/>
              </w:rPr>
              <w:t>给排水</w:t>
            </w:r>
          </w:p>
          <w:p>
            <w:pPr>
              <w:ind w:firstLine="480"/>
              <w:rPr>
                <w:color w:val="auto"/>
              </w:rPr>
            </w:pPr>
            <w:r>
              <w:rPr>
                <w:color w:val="auto"/>
              </w:rPr>
              <w:t>给水：厂区内生活用水、生产用水等由项目自产的自来水供给。项目拟配员工</w:t>
            </w:r>
            <w:r>
              <w:rPr>
                <w:rFonts w:hint="eastAsia"/>
                <w:color w:val="auto"/>
                <w:lang w:val="en-US" w:eastAsia="zh-CN"/>
              </w:rPr>
              <w:t>4</w:t>
            </w:r>
            <w:r>
              <w:rPr>
                <w:color w:val="auto"/>
              </w:rPr>
              <w:t>人，均</w:t>
            </w:r>
            <w:r>
              <w:rPr>
                <w:rFonts w:hint="eastAsia"/>
                <w:color w:val="auto"/>
                <w:u w:val="single"/>
                <w:lang w:eastAsia="zh-CN"/>
              </w:rPr>
              <w:t>不</w:t>
            </w:r>
            <w:r>
              <w:rPr>
                <w:color w:val="auto"/>
                <w:u w:val="single"/>
              </w:rPr>
              <w:t>在</w:t>
            </w:r>
            <w:r>
              <w:rPr>
                <w:color w:val="auto"/>
              </w:rPr>
              <w:t>厂区住宿，根据《广东省用水定额》（DB44/T1461-2014），</w:t>
            </w:r>
            <w:r>
              <w:rPr>
                <w:rFonts w:hint="eastAsia"/>
                <w:color w:val="auto"/>
                <w:lang w:eastAsia="zh-CN"/>
              </w:rPr>
              <w:t>参考机关事业单位行业的有食堂和浴室用水规模系数，</w:t>
            </w:r>
            <w:r>
              <w:rPr>
                <w:color w:val="auto"/>
              </w:rPr>
              <w:t>员工生活用水定额为</w:t>
            </w:r>
            <w:r>
              <w:rPr>
                <w:rFonts w:hint="eastAsia"/>
                <w:color w:val="auto"/>
                <w:lang w:val="en-US" w:eastAsia="zh-CN"/>
              </w:rPr>
              <w:t>8</w:t>
            </w:r>
            <w:r>
              <w:rPr>
                <w:color w:val="auto"/>
              </w:rPr>
              <w:t>0L/人d</w:t>
            </w:r>
            <w:r>
              <w:rPr>
                <w:rFonts w:hint="eastAsia"/>
                <w:color w:val="auto"/>
              </w:rPr>
              <w:t>，则</w:t>
            </w:r>
            <w:r>
              <w:rPr>
                <w:color w:val="auto"/>
              </w:rPr>
              <w:t>生活用水量约为</w:t>
            </w:r>
            <w:r>
              <w:rPr>
                <w:rFonts w:hint="eastAsia"/>
                <w:color w:val="auto"/>
              </w:rPr>
              <w:t>0.</w:t>
            </w:r>
            <w:r>
              <w:rPr>
                <w:rFonts w:hint="eastAsia"/>
                <w:color w:val="auto"/>
                <w:lang w:val="en-US" w:eastAsia="zh-CN"/>
              </w:rPr>
              <w:t>32</w:t>
            </w:r>
            <w:r>
              <w:rPr>
                <w:color w:val="auto"/>
              </w:rPr>
              <w:t>m³/</w:t>
            </w:r>
            <w:r>
              <w:rPr>
                <w:rFonts w:hint="eastAsia"/>
                <w:color w:val="auto"/>
              </w:rPr>
              <w:t>d</w:t>
            </w:r>
            <w:r>
              <w:rPr>
                <w:color w:val="auto"/>
              </w:rPr>
              <w:t>（</w:t>
            </w:r>
            <w:r>
              <w:rPr>
                <w:rFonts w:hint="eastAsia"/>
                <w:color w:val="auto"/>
                <w:lang w:val="en-US" w:eastAsia="zh-CN"/>
              </w:rPr>
              <w:t>116.8</w:t>
            </w:r>
            <w:r>
              <w:rPr>
                <w:color w:val="auto"/>
              </w:rPr>
              <w:t>m³/</w:t>
            </w:r>
            <w:r>
              <w:rPr>
                <w:rFonts w:hint="eastAsia"/>
                <w:color w:val="auto"/>
              </w:rPr>
              <w:t>a</w:t>
            </w:r>
            <w:r>
              <w:rPr>
                <w:color w:val="auto"/>
              </w:rPr>
              <w:t>）。</w:t>
            </w:r>
          </w:p>
          <w:p>
            <w:pPr>
              <w:ind w:firstLine="480"/>
              <w:rPr>
                <w:color w:val="auto"/>
              </w:rPr>
            </w:pPr>
            <w:r>
              <w:rPr>
                <w:color w:val="auto"/>
              </w:rPr>
              <w:t>排水：</w:t>
            </w:r>
            <w:r>
              <w:rPr>
                <w:rFonts w:hint="eastAsia"/>
                <w:color w:val="auto"/>
              </w:rPr>
              <w:t>生活用水</w:t>
            </w:r>
            <w:r>
              <w:rPr>
                <w:color w:val="auto"/>
                <w:spacing w:val="-2"/>
              </w:rPr>
              <w:t>污染排放系数</w:t>
            </w:r>
            <w:r>
              <w:rPr>
                <w:color w:val="auto"/>
              </w:rPr>
              <w:t>按0.8计，</w:t>
            </w:r>
            <w:r>
              <w:rPr>
                <w:rFonts w:hint="eastAsia"/>
                <w:color w:val="auto"/>
              </w:rPr>
              <w:t>则生活污水产生量为</w:t>
            </w:r>
            <w:r>
              <w:rPr>
                <w:rFonts w:hint="eastAsia"/>
                <w:color w:val="auto"/>
                <w:lang w:val="en-US" w:eastAsia="zh-CN"/>
              </w:rPr>
              <w:t>0.256</w:t>
            </w:r>
            <w:r>
              <w:rPr>
                <w:color w:val="auto"/>
              </w:rPr>
              <w:t>m³/</w:t>
            </w:r>
            <w:r>
              <w:rPr>
                <w:rFonts w:hint="eastAsia"/>
                <w:color w:val="auto"/>
              </w:rPr>
              <w:t>d</w:t>
            </w:r>
            <w:r>
              <w:rPr>
                <w:color w:val="auto"/>
              </w:rPr>
              <w:t>（</w:t>
            </w:r>
            <w:r>
              <w:rPr>
                <w:rFonts w:hint="eastAsia"/>
                <w:color w:val="auto"/>
                <w:lang w:val="en-US" w:eastAsia="zh-CN"/>
              </w:rPr>
              <w:t>93.44</w:t>
            </w:r>
            <w:r>
              <w:rPr>
                <w:color w:val="auto"/>
              </w:rPr>
              <w:t>m³/</w:t>
            </w:r>
            <w:r>
              <w:rPr>
                <w:rFonts w:hint="eastAsia"/>
                <w:color w:val="auto"/>
              </w:rPr>
              <w:t>a</w:t>
            </w:r>
            <w:r>
              <w:rPr>
                <w:color w:val="auto"/>
              </w:rPr>
              <w:t>）</w:t>
            </w:r>
            <w:r>
              <w:rPr>
                <w:rFonts w:hint="eastAsia"/>
                <w:color w:val="auto"/>
              </w:rPr>
              <w:t>，</w:t>
            </w:r>
            <w:r>
              <w:rPr>
                <w:color w:val="auto"/>
              </w:rPr>
              <w:t>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color w:val="auto"/>
              </w:rPr>
              <w:t>处理</w:t>
            </w:r>
            <w:r>
              <w:rPr>
                <w:rFonts w:hint="eastAsia"/>
                <w:color w:val="auto"/>
                <w:lang w:eastAsia="zh-CN"/>
              </w:rPr>
              <w:t>后</w:t>
            </w:r>
            <w:r>
              <w:rPr>
                <w:rFonts w:hint="eastAsia"/>
                <w:color w:val="auto"/>
              </w:rPr>
              <w:t>达到《</w:t>
            </w:r>
            <w:r>
              <w:rPr>
                <w:color w:val="auto"/>
              </w:rPr>
              <w:t>农田灌溉水质标准》（GB5084-2005）旱作标准后回用于</w:t>
            </w:r>
            <w:r>
              <w:rPr>
                <w:rFonts w:hint="eastAsia"/>
                <w:color w:val="auto"/>
              </w:rPr>
              <w:t>周边林地灌溉，不外排</w:t>
            </w:r>
            <w:r>
              <w:rPr>
                <w:color w:val="auto"/>
              </w:rPr>
              <w:t>。</w:t>
            </w:r>
          </w:p>
          <w:p>
            <w:pPr>
              <w:ind w:firstLine="480"/>
              <w:rPr>
                <w:color w:val="auto"/>
                <w:szCs w:val="22"/>
              </w:rPr>
            </w:pPr>
            <w:r>
              <w:rPr>
                <w:rFonts w:hint="eastAsia" w:ascii="宋体" w:hAnsi="宋体" w:cs="宋体"/>
                <w:color w:val="auto"/>
              </w:rPr>
              <w:t>（2）</w:t>
            </w:r>
            <w:r>
              <w:rPr>
                <w:color w:val="auto"/>
              </w:rPr>
              <w:t>供电</w:t>
            </w:r>
          </w:p>
          <w:p>
            <w:pPr>
              <w:ind w:firstLine="480"/>
              <w:rPr>
                <w:color w:val="auto"/>
              </w:rPr>
            </w:pPr>
            <w:r>
              <w:rPr>
                <w:color w:val="auto"/>
                <w:szCs w:val="22"/>
              </w:rPr>
              <w:t>项目营运用电由市政电网提供，预计用电量为</w:t>
            </w:r>
            <w:r>
              <w:rPr>
                <w:rFonts w:hint="eastAsia"/>
                <w:color w:val="auto"/>
                <w:szCs w:val="22"/>
                <w:lang w:val="en-US" w:eastAsia="zh-CN"/>
              </w:rPr>
              <w:t>10</w:t>
            </w:r>
            <w:r>
              <w:rPr>
                <w:color w:val="auto"/>
                <w:szCs w:val="22"/>
              </w:rPr>
              <w:t>00度/年。</w:t>
            </w:r>
          </w:p>
          <w:p>
            <w:pPr>
              <w:pStyle w:val="55"/>
              <w:ind w:firstLine="482"/>
              <w:rPr>
                <w:color w:val="auto"/>
              </w:rPr>
            </w:pPr>
            <w:r>
              <w:rPr>
                <w:rFonts w:hint="eastAsia"/>
                <w:color w:val="auto"/>
              </w:rPr>
              <w:t>7、</w:t>
            </w:r>
            <w:r>
              <w:rPr>
                <w:color w:val="auto"/>
              </w:rPr>
              <w:t>施工组织设计</w:t>
            </w:r>
          </w:p>
          <w:p>
            <w:pPr>
              <w:ind w:firstLine="480"/>
              <w:rPr>
                <w:color w:val="auto"/>
              </w:rPr>
            </w:pPr>
            <w:r>
              <w:rPr>
                <w:rFonts w:hint="eastAsia"/>
                <w:color w:val="auto"/>
              </w:rPr>
              <w:t>（1）施工交通</w:t>
            </w:r>
          </w:p>
          <w:p>
            <w:pPr>
              <w:ind w:firstLine="480"/>
              <w:rPr>
                <w:rFonts w:hint="default" w:eastAsia="宋体"/>
                <w:color w:val="auto"/>
                <w:lang w:val="en-US" w:eastAsia="zh-CN"/>
              </w:rPr>
            </w:pPr>
            <w:r>
              <w:rPr>
                <w:rFonts w:hint="eastAsia"/>
                <w:color w:val="auto"/>
              </w:rPr>
              <w:t>本工程位于连州市</w:t>
            </w:r>
            <w:r>
              <w:rPr>
                <w:rFonts w:hint="eastAsia"/>
                <w:color w:val="auto"/>
                <w:lang w:eastAsia="zh-CN"/>
              </w:rPr>
              <w:t>西江镇</w:t>
            </w:r>
            <w:r>
              <w:rPr>
                <w:rFonts w:hint="eastAsia"/>
                <w:color w:val="auto"/>
              </w:rPr>
              <w:t>，工程附近的县、乡级公路通达，对外交通运输便捷。</w:t>
            </w:r>
            <w:r>
              <w:rPr>
                <w:rFonts w:hint="eastAsia"/>
                <w:color w:val="auto"/>
                <w:lang w:eastAsia="zh-CN"/>
              </w:rPr>
              <w:t>项目新建一条施工便道，总长</w:t>
            </w:r>
            <w:r>
              <w:rPr>
                <w:rFonts w:hint="eastAsia"/>
                <w:color w:val="auto"/>
                <w:lang w:val="en-US" w:eastAsia="zh-CN"/>
              </w:rPr>
              <w:t>431m，路宽3m，</w:t>
            </w:r>
            <w:r>
              <w:rPr>
                <w:rFonts w:hint="eastAsia"/>
                <w:color w:val="auto"/>
                <w:lang w:eastAsia="zh-CN"/>
              </w:rPr>
              <w:t>该用地</w:t>
            </w:r>
            <w:r>
              <w:rPr>
                <w:rFonts w:hint="eastAsia"/>
                <w:color w:val="auto"/>
                <w:lang w:val="en-US" w:eastAsia="zh-CN"/>
              </w:rPr>
              <w:t>为临时占地。</w:t>
            </w:r>
          </w:p>
          <w:p>
            <w:pPr>
              <w:ind w:firstLine="480"/>
              <w:rPr>
                <w:color w:val="auto"/>
              </w:rPr>
            </w:pPr>
            <w:r>
              <w:rPr>
                <w:rFonts w:hint="eastAsia"/>
                <w:color w:val="auto"/>
              </w:rPr>
              <w:t>（2）施工能源</w:t>
            </w:r>
          </w:p>
          <w:p>
            <w:pPr>
              <w:ind w:firstLine="480"/>
              <w:rPr>
                <w:color w:val="auto"/>
              </w:rPr>
            </w:pPr>
            <w:r>
              <w:rPr>
                <w:rFonts w:hint="eastAsia"/>
                <w:color w:val="auto"/>
              </w:rPr>
              <w:t>本工程施工用水从</w:t>
            </w:r>
            <w:r>
              <w:rPr>
                <w:rFonts w:hint="eastAsia"/>
                <w:color w:val="auto"/>
                <w:lang w:eastAsia="zh-CN"/>
              </w:rPr>
              <w:t>八一</w:t>
            </w:r>
            <w:r>
              <w:rPr>
                <w:rFonts w:hint="eastAsia"/>
                <w:color w:val="auto"/>
              </w:rPr>
              <w:t>水库抽取；施工区用电就近接用农用电。</w:t>
            </w:r>
          </w:p>
          <w:p>
            <w:pPr>
              <w:ind w:firstLine="480"/>
              <w:rPr>
                <w:color w:val="auto"/>
              </w:rPr>
            </w:pPr>
            <w:r>
              <w:rPr>
                <w:rFonts w:hint="eastAsia"/>
                <w:color w:val="auto"/>
              </w:rPr>
              <w:t>（3）施工建筑材料</w:t>
            </w:r>
          </w:p>
          <w:p>
            <w:pPr>
              <w:ind w:firstLine="480"/>
              <w:rPr>
                <w:color w:val="auto"/>
              </w:rPr>
            </w:pPr>
            <w:r>
              <w:rPr>
                <w:rFonts w:hint="eastAsia"/>
                <w:color w:val="auto"/>
              </w:rPr>
              <w:t>工程所需管材应由有相应资质的工厂供应，质量一定要满足设计要求，必须进行招标；工程所需材料可就近在当地购买；本工程的土方回填直接用开挖料进行回填，不考虑土料场取料。</w:t>
            </w:r>
          </w:p>
          <w:p>
            <w:pPr>
              <w:ind w:firstLine="480"/>
              <w:rPr>
                <w:color w:val="auto"/>
              </w:rPr>
            </w:pPr>
            <w:r>
              <w:rPr>
                <w:rFonts w:hint="eastAsia"/>
                <w:color w:val="auto"/>
              </w:rPr>
              <w:t>（4）施工总布置</w:t>
            </w:r>
          </w:p>
          <w:p>
            <w:pPr>
              <w:ind w:firstLine="480"/>
              <w:rPr>
                <w:color w:val="auto"/>
              </w:rPr>
            </w:pPr>
            <w:r>
              <w:rPr>
                <w:rFonts w:hint="eastAsia"/>
                <w:color w:val="auto"/>
              </w:rPr>
              <w:t>本工程</w:t>
            </w:r>
            <w:r>
              <w:rPr>
                <w:rFonts w:hint="eastAsia"/>
                <w:color w:val="auto"/>
                <w:lang w:eastAsia="zh-TW"/>
              </w:rPr>
              <w:t>施工人员的</w:t>
            </w:r>
            <w:r>
              <w:rPr>
                <w:rFonts w:hint="eastAsia"/>
                <w:color w:val="auto"/>
              </w:rPr>
              <w:t>住宿选择在</w:t>
            </w:r>
            <w:r>
              <w:rPr>
                <w:rFonts w:hint="eastAsia"/>
                <w:color w:val="auto"/>
                <w:lang w:eastAsia="zh-TW"/>
              </w:rPr>
              <w:t>附近</w:t>
            </w:r>
            <w:r>
              <w:rPr>
                <w:rFonts w:hint="eastAsia"/>
                <w:color w:val="auto"/>
              </w:rPr>
              <w:t>村庄</w:t>
            </w:r>
            <w:r>
              <w:rPr>
                <w:rFonts w:hint="eastAsia"/>
                <w:color w:val="auto"/>
                <w:lang w:eastAsia="zh-TW"/>
              </w:rPr>
              <w:t>租住，</w:t>
            </w:r>
            <w:r>
              <w:rPr>
                <w:rFonts w:hint="eastAsia"/>
                <w:color w:val="auto"/>
              </w:rPr>
              <w:t>不需要搭建临时生活区，土建所用到的混凝土为商用混凝土，不需要设置混凝土搅拌场地，仅需要</w:t>
            </w:r>
            <w:r>
              <w:rPr>
                <w:rFonts w:hint="eastAsia"/>
                <w:color w:val="auto"/>
                <w:lang w:eastAsia="zh-TW"/>
              </w:rPr>
              <w:t>沿施工场地</w:t>
            </w:r>
            <w:r>
              <w:rPr>
                <w:rFonts w:hint="eastAsia"/>
                <w:color w:val="auto"/>
              </w:rPr>
              <w:t>附近布置一个</w:t>
            </w:r>
            <w:r>
              <w:rPr>
                <w:rFonts w:hint="eastAsia"/>
                <w:color w:val="auto"/>
                <w:lang w:eastAsia="zh-TW"/>
              </w:rPr>
              <w:t>施工临时办公生活生产用地</w:t>
            </w:r>
            <w:r>
              <w:rPr>
                <w:rFonts w:hint="eastAsia"/>
                <w:color w:val="auto"/>
              </w:rPr>
              <w:t>和</w:t>
            </w:r>
            <w:r>
              <w:rPr>
                <w:rFonts w:hint="eastAsia"/>
                <w:color w:val="auto"/>
                <w:lang w:eastAsia="zh-TW"/>
              </w:rPr>
              <w:t>临时</w:t>
            </w:r>
            <w:r>
              <w:rPr>
                <w:rFonts w:hint="eastAsia"/>
                <w:color w:val="auto"/>
              </w:rPr>
              <w:t>弃渣场，用于临时</w:t>
            </w:r>
            <w:r>
              <w:rPr>
                <w:rFonts w:hint="eastAsia"/>
                <w:color w:val="auto"/>
                <w:lang w:eastAsia="zh-CN"/>
              </w:rPr>
              <w:t>办公、</w:t>
            </w:r>
            <w:r>
              <w:rPr>
                <w:rFonts w:hint="eastAsia"/>
                <w:color w:val="auto"/>
              </w:rPr>
              <w:t>堆放</w:t>
            </w:r>
            <w:r>
              <w:rPr>
                <w:rFonts w:hint="eastAsia"/>
                <w:color w:val="auto"/>
                <w:lang w:eastAsia="zh-CN"/>
              </w:rPr>
              <w:t>材料设备</w:t>
            </w:r>
            <w:r>
              <w:rPr>
                <w:rFonts w:hint="eastAsia"/>
                <w:color w:val="auto"/>
              </w:rPr>
              <w:t>和弃渣。</w:t>
            </w:r>
            <w:r>
              <w:rPr>
                <w:rFonts w:hint="eastAsia"/>
                <w:color w:val="auto"/>
                <w:lang w:eastAsia="zh-TW"/>
              </w:rPr>
              <w:t>施工临时办公生活生产用地</w:t>
            </w:r>
            <w:r>
              <w:rPr>
                <w:rFonts w:hint="eastAsia"/>
                <w:color w:val="auto"/>
              </w:rPr>
              <w:t>和</w:t>
            </w:r>
            <w:r>
              <w:rPr>
                <w:rFonts w:hint="eastAsia"/>
                <w:color w:val="auto"/>
                <w:lang w:eastAsia="zh-TW"/>
              </w:rPr>
              <w:t>临时</w:t>
            </w:r>
            <w:r>
              <w:rPr>
                <w:rFonts w:hint="eastAsia"/>
                <w:color w:val="auto"/>
              </w:rPr>
              <w:t>弃渣场设置在一起，占地类型为荒草地</w:t>
            </w:r>
            <w:r>
              <w:rPr>
                <w:rFonts w:hint="eastAsia"/>
                <w:color w:val="auto"/>
                <w:lang w:eastAsia="zh-CN"/>
              </w:rPr>
              <w:t>，施工临时</w:t>
            </w:r>
            <w:r>
              <w:rPr>
                <w:rFonts w:hint="eastAsia"/>
                <w:color w:val="auto"/>
              </w:rPr>
              <w:t>占地面积共</w:t>
            </w:r>
            <w:r>
              <w:rPr>
                <w:rFonts w:hint="eastAsia"/>
                <w:color w:val="auto"/>
                <w:lang w:val="en-US" w:eastAsia="zh-CN"/>
              </w:rPr>
              <w:t>9417</w:t>
            </w:r>
            <w:r>
              <w:rPr>
                <w:rFonts w:hint="eastAsia"/>
                <w:color w:val="auto"/>
              </w:rPr>
              <w:t>㎡。进场道路只需依照现状道路进行硬化，不需要另外开挖道路。项目占地类型详见下表。</w:t>
            </w:r>
          </w:p>
          <w:p>
            <w:pPr>
              <w:pStyle w:val="112"/>
              <w:ind w:left="480" w:firstLine="480"/>
              <w:rPr>
                <w:color w:val="auto"/>
              </w:rPr>
            </w:pPr>
            <w:r>
              <w:rPr>
                <w:rFonts w:hint="eastAsia"/>
                <w:color w:val="auto"/>
              </w:rPr>
              <w:t>表</w:t>
            </w:r>
            <w:r>
              <w:rPr>
                <w:rFonts w:hint="eastAsia"/>
                <w:color w:val="auto"/>
                <w:lang w:val="en-US" w:eastAsia="zh-CN"/>
              </w:rPr>
              <w:t>1-</w:t>
            </w:r>
            <w:r>
              <w:rPr>
                <w:rFonts w:hint="eastAsia"/>
                <w:color w:val="auto"/>
              </w:rPr>
              <w:t>5  项目永久占地和临时占地情况一览表</w:t>
            </w:r>
          </w:p>
          <w:tbl>
            <w:tblPr>
              <w:tblStyle w:val="39"/>
              <w:tblW w:w="849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48"/>
              <w:gridCol w:w="1562"/>
              <w:gridCol w:w="1527"/>
              <w:gridCol w:w="255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color w:val="auto"/>
                    </w:rPr>
                  </w:pPr>
                  <w:r>
                    <w:rPr>
                      <w:rFonts w:hint="eastAsia"/>
                      <w:color w:val="auto"/>
                    </w:rPr>
                    <w:t>项目</w:t>
                  </w:r>
                </w:p>
              </w:tc>
              <w:tc>
                <w:tcPr>
                  <w:tcW w:w="1562" w:type="dxa"/>
                  <w:vAlign w:val="center"/>
                </w:tcPr>
                <w:p>
                  <w:pPr>
                    <w:pStyle w:val="57"/>
                    <w:rPr>
                      <w:color w:val="auto"/>
                    </w:rPr>
                  </w:pPr>
                  <w:r>
                    <w:rPr>
                      <w:rFonts w:hint="eastAsia"/>
                      <w:color w:val="auto"/>
                    </w:rPr>
                    <w:t>占地类型</w:t>
                  </w:r>
                </w:p>
              </w:tc>
              <w:tc>
                <w:tcPr>
                  <w:tcW w:w="1527" w:type="dxa"/>
                  <w:vAlign w:val="center"/>
                </w:tcPr>
                <w:p>
                  <w:pPr>
                    <w:pStyle w:val="57"/>
                    <w:rPr>
                      <w:color w:val="auto"/>
                    </w:rPr>
                  </w:pPr>
                  <w:r>
                    <w:rPr>
                      <w:rFonts w:hint="eastAsia"/>
                      <w:color w:val="auto"/>
                    </w:rPr>
                    <w:t>占地面积</w:t>
                  </w:r>
                </w:p>
              </w:tc>
              <w:tc>
                <w:tcPr>
                  <w:tcW w:w="2557" w:type="dxa"/>
                  <w:vAlign w:val="center"/>
                </w:tcPr>
                <w:p>
                  <w:pPr>
                    <w:pStyle w:val="57"/>
                    <w:rPr>
                      <w:color w:val="auto"/>
                    </w:rPr>
                  </w:pPr>
                  <w:r>
                    <w:rPr>
                      <w:rFonts w:hint="eastAsia"/>
                      <w:color w:val="auto"/>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494" w:type="dxa"/>
                  <w:gridSpan w:val="4"/>
                  <w:vAlign w:val="center"/>
                </w:tcPr>
                <w:p>
                  <w:pPr>
                    <w:pStyle w:val="57"/>
                    <w:jc w:val="left"/>
                    <w:rPr>
                      <w:color w:val="auto"/>
                    </w:rPr>
                  </w:pPr>
                  <w:r>
                    <w:rPr>
                      <w:rFonts w:hint="eastAsia"/>
                      <w:color w:val="auto"/>
                    </w:rPr>
                    <w:t>一、永久工程占地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color w:val="auto"/>
                    </w:rPr>
                  </w:pPr>
                  <w:r>
                    <w:rPr>
                      <w:rFonts w:hint="eastAsia"/>
                      <w:color w:val="auto"/>
                    </w:rPr>
                    <w:t>水厂</w:t>
                  </w:r>
                </w:p>
              </w:tc>
              <w:tc>
                <w:tcPr>
                  <w:tcW w:w="1562" w:type="dxa"/>
                  <w:vAlign w:val="center"/>
                </w:tcPr>
                <w:p>
                  <w:pPr>
                    <w:pStyle w:val="57"/>
                    <w:rPr>
                      <w:color w:val="auto"/>
                    </w:rPr>
                  </w:pPr>
                  <w:r>
                    <w:rPr>
                      <w:rFonts w:hint="eastAsia"/>
                      <w:color w:val="auto"/>
                    </w:rPr>
                    <w:t>荒草地</w:t>
                  </w:r>
                </w:p>
              </w:tc>
              <w:tc>
                <w:tcPr>
                  <w:tcW w:w="1527" w:type="dxa"/>
                  <w:vAlign w:val="center"/>
                </w:tcPr>
                <w:p>
                  <w:pPr>
                    <w:pStyle w:val="57"/>
                    <w:rPr>
                      <w:color w:val="auto"/>
                    </w:rPr>
                  </w:pPr>
                  <w:r>
                    <w:rPr>
                      <w:rFonts w:hint="eastAsia"/>
                      <w:color w:val="auto"/>
                      <w:lang w:val="en-US" w:eastAsia="zh-CN"/>
                    </w:rPr>
                    <w:t>36</w:t>
                  </w:r>
                  <w:r>
                    <w:rPr>
                      <w:rFonts w:hint="eastAsia"/>
                      <w:color w:val="auto"/>
                    </w:rPr>
                    <w:t>0㎡</w:t>
                  </w:r>
                </w:p>
              </w:tc>
              <w:tc>
                <w:tcPr>
                  <w:tcW w:w="2557" w:type="dxa"/>
                  <w:vAlign w:val="center"/>
                </w:tcPr>
                <w:p>
                  <w:pPr>
                    <w:pStyle w:val="57"/>
                    <w:rPr>
                      <w:color w:val="auto"/>
                    </w:rPr>
                  </w:pPr>
                  <w:r>
                    <w:rPr>
                      <w:rFonts w:hint="eastAsia"/>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color w:val="auto"/>
                    </w:rPr>
                  </w:pPr>
                  <w:r>
                    <w:rPr>
                      <w:rFonts w:hint="eastAsia"/>
                      <w:color w:val="auto"/>
                    </w:rPr>
                    <w:t>进场道路</w:t>
                  </w:r>
                </w:p>
              </w:tc>
              <w:tc>
                <w:tcPr>
                  <w:tcW w:w="1562" w:type="dxa"/>
                  <w:vAlign w:val="center"/>
                </w:tcPr>
                <w:p>
                  <w:pPr>
                    <w:pStyle w:val="57"/>
                    <w:rPr>
                      <w:color w:val="auto"/>
                    </w:rPr>
                  </w:pPr>
                  <w:r>
                    <w:rPr>
                      <w:rFonts w:hint="eastAsia"/>
                      <w:color w:val="auto"/>
                    </w:rPr>
                    <w:t>荒草地</w:t>
                  </w:r>
                </w:p>
              </w:tc>
              <w:tc>
                <w:tcPr>
                  <w:tcW w:w="1527" w:type="dxa"/>
                  <w:vAlign w:val="center"/>
                </w:tcPr>
                <w:p>
                  <w:pPr>
                    <w:pStyle w:val="57"/>
                    <w:rPr>
                      <w:color w:val="auto"/>
                    </w:rPr>
                  </w:pPr>
                  <w:r>
                    <w:rPr>
                      <w:rFonts w:hint="eastAsia"/>
                      <w:color w:val="auto"/>
                      <w:lang w:val="en-US" w:eastAsia="zh-CN"/>
                    </w:rPr>
                    <w:t>1815</w:t>
                  </w:r>
                  <w:r>
                    <w:rPr>
                      <w:rFonts w:hint="eastAsia"/>
                      <w:color w:val="auto"/>
                    </w:rPr>
                    <w:t>㎡</w:t>
                  </w:r>
                </w:p>
              </w:tc>
              <w:tc>
                <w:tcPr>
                  <w:tcW w:w="2557" w:type="dxa"/>
                  <w:vAlign w:val="center"/>
                </w:tcPr>
                <w:p>
                  <w:pPr>
                    <w:pStyle w:val="57"/>
                    <w:rPr>
                      <w:color w:val="auto"/>
                    </w:rPr>
                  </w:pPr>
                  <w:r>
                    <w:rPr>
                      <w:rFonts w:hint="eastAsia"/>
                      <w:color w:val="auto"/>
                      <w:lang w:eastAsia="zh-CN"/>
                    </w:rPr>
                    <w:t>新建一条进厂</w:t>
                  </w:r>
                  <w:r>
                    <w:rPr>
                      <w:rFonts w:hint="eastAsia"/>
                      <w:color w:val="auto"/>
                    </w:rPr>
                    <w:t>道路，</w:t>
                  </w:r>
                  <w:r>
                    <w:rPr>
                      <w:rFonts w:hint="eastAsia"/>
                      <w:color w:val="auto"/>
                      <w:lang w:eastAsia="zh-CN"/>
                    </w:rPr>
                    <w:t>总长</w:t>
                  </w:r>
                  <w:r>
                    <w:rPr>
                      <w:rFonts w:hint="eastAsia"/>
                      <w:color w:val="auto"/>
                      <w:lang w:val="en-US" w:eastAsia="zh-CN"/>
                    </w:rPr>
                    <w:t>605m，宽3m</w:t>
                  </w:r>
                  <w:r>
                    <w:rPr>
                      <w:rFonts w:hint="eastAsia"/>
                      <w:color w:val="auto"/>
                      <w:lang w:eastAsia="zh-CN"/>
                    </w:rPr>
                    <w:t>，</w:t>
                  </w:r>
                  <w:r>
                    <w:rPr>
                      <w:rFonts w:hint="eastAsia"/>
                      <w:color w:val="auto"/>
                    </w:rPr>
                    <w:t>场内道路用地按农村道路用地管理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494" w:type="dxa"/>
                  <w:gridSpan w:val="4"/>
                  <w:vAlign w:val="center"/>
                </w:tcPr>
                <w:p>
                  <w:pPr>
                    <w:pStyle w:val="57"/>
                    <w:jc w:val="left"/>
                    <w:rPr>
                      <w:color w:val="auto"/>
                    </w:rPr>
                  </w:pPr>
                  <w:r>
                    <w:rPr>
                      <w:rFonts w:hint="eastAsia"/>
                      <w:color w:val="auto"/>
                    </w:rPr>
                    <w:t>二、临时工程占地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color w:val="auto"/>
                    </w:rPr>
                  </w:pPr>
                  <w:r>
                    <w:rPr>
                      <w:rFonts w:hint="eastAsia"/>
                      <w:color w:val="auto"/>
                      <w:lang w:eastAsia="zh-TW"/>
                    </w:rPr>
                    <w:t>施工临时办公生产用地</w:t>
                  </w:r>
                </w:p>
              </w:tc>
              <w:tc>
                <w:tcPr>
                  <w:tcW w:w="1562" w:type="dxa"/>
                  <w:vAlign w:val="center"/>
                </w:tcPr>
                <w:p>
                  <w:pPr>
                    <w:pStyle w:val="57"/>
                    <w:rPr>
                      <w:color w:val="auto"/>
                    </w:rPr>
                  </w:pPr>
                  <w:r>
                    <w:rPr>
                      <w:rFonts w:hint="eastAsia"/>
                      <w:color w:val="auto"/>
                    </w:rPr>
                    <w:t>荒草地</w:t>
                  </w:r>
                </w:p>
              </w:tc>
              <w:tc>
                <w:tcPr>
                  <w:tcW w:w="1527" w:type="dxa"/>
                  <w:vAlign w:val="center"/>
                </w:tcPr>
                <w:p>
                  <w:pPr>
                    <w:pStyle w:val="57"/>
                    <w:rPr>
                      <w:color w:val="auto"/>
                    </w:rPr>
                  </w:pPr>
                  <w:r>
                    <w:rPr>
                      <w:rFonts w:hint="eastAsia"/>
                      <w:color w:val="auto"/>
                      <w:lang w:val="en-US" w:eastAsia="zh-CN"/>
                    </w:rPr>
                    <w:t>5</w:t>
                  </w:r>
                  <w:r>
                    <w:rPr>
                      <w:rFonts w:hint="eastAsia"/>
                      <w:color w:val="auto"/>
                    </w:rPr>
                    <w:t>00㎡</w:t>
                  </w:r>
                </w:p>
              </w:tc>
              <w:tc>
                <w:tcPr>
                  <w:tcW w:w="2557" w:type="dxa"/>
                  <w:vMerge w:val="restart"/>
                  <w:vAlign w:val="center"/>
                </w:tcPr>
                <w:p>
                  <w:pPr>
                    <w:pStyle w:val="57"/>
                    <w:rPr>
                      <w:color w:val="auto"/>
                    </w:rPr>
                  </w:pPr>
                  <w:r>
                    <w:rPr>
                      <w:rFonts w:hint="eastAsia"/>
                      <w:color w:val="auto"/>
                    </w:rPr>
                    <w:t>全部为临时占地，在竣工后全部拆除</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color w:val="auto"/>
                    </w:rPr>
                  </w:pPr>
                  <w:r>
                    <w:rPr>
                      <w:rFonts w:hint="eastAsia"/>
                      <w:color w:val="auto"/>
                      <w:lang w:eastAsia="zh-TW"/>
                    </w:rPr>
                    <w:t>临时</w:t>
                  </w:r>
                  <w:r>
                    <w:rPr>
                      <w:rFonts w:hint="eastAsia"/>
                      <w:color w:val="auto"/>
                    </w:rPr>
                    <w:t>弃渣场</w:t>
                  </w:r>
                </w:p>
              </w:tc>
              <w:tc>
                <w:tcPr>
                  <w:tcW w:w="1562" w:type="dxa"/>
                  <w:vAlign w:val="center"/>
                </w:tcPr>
                <w:p>
                  <w:pPr>
                    <w:pStyle w:val="57"/>
                    <w:rPr>
                      <w:color w:val="auto"/>
                    </w:rPr>
                  </w:pPr>
                  <w:r>
                    <w:rPr>
                      <w:rFonts w:hint="eastAsia"/>
                      <w:color w:val="auto"/>
                    </w:rPr>
                    <w:t>荒草地</w:t>
                  </w:r>
                </w:p>
              </w:tc>
              <w:tc>
                <w:tcPr>
                  <w:tcW w:w="1527" w:type="dxa"/>
                  <w:vAlign w:val="center"/>
                </w:tcPr>
                <w:p>
                  <w:pPr>
                    <w:pStyle w:val="57"/>
                    <w:rPr>
                      <w:color w:val="auto"/>
                    </w:rPr>
                  </w:pPr>
                  <w:r>
                    <w:rPr>
                      <w:rFonts w:hint="eastAsia"/>
                      <w:color w:val="auto"/>
                    </w:rPr>
                    <w:t>100㎡</w:t>
                  </w:r>
                </w:p>
              </w:tc>
              <w:tc>
                <w:tcPr>
                  <w:tcW w:w="2557" w:type="dxa"/>
                  <w:vMerge w:val="continue"/>
                  <w:vAlign w:val="center"/>
                </w:tcPr>
                <w:p>
                  <w:pPr>
                    <w:pStyle w:val="57"/>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rFonts w:hint="eastAsia" w:eastAsia="宋体"/>
                      <w:color w:val="auto"/>
                      <w:lang w:eastAsia="zh-CN"/>
                    </w:rPr>
                  </w:pPr>
                  <w:r>
                    <w:rPr>
                      <w:rFonts w:hint="eastAsia"/>
                      <w:color w:val="auto"/>
                      <w:lang w:eastAsia="zh-CN"/>
                    </w:rPr>
                    <w:t>临时道路</w:t>
                  </w:r>
                </w:p>
              </w:tc>
              <w:tc>
                <w:tcPr>
                  <w:tcW w:w="1562" w:type="dxa"/>
                  <w:vAlign w:val="center"/>
                </w:tcPr>
                <w:p>
                  <w:pPr>
                    <w:pStyle w:val="57"/>
                    <w:rPr>
                      <w:rFonts w:hint="eastAsia"/>
                      <w:color w:val="auto"/>
                    </w:rPr>
                  </w:pPr>
                  <w:r>
                    <w:rPr>
                      <w:rFonts w:hint="eastAsia"/>
                      <w:color w:val="auto"/>
                    </w:rPr>
                    <w:t>荒草地</w:t>
                  </w:r>
                </w:p>
              </w:tc>
              <w:tc>
                <w:tcPr>
                  <w:tcW w:w="1527" w:type="dxa"/>
                  <w:vAlign w:val="center"/>
                </w:tcPr>
                <w:p>
                  <w:pPr>
                    <w:pStyle w:val="57"/>
                    <w:rPr>
                      <w:rFonts w:hint="default" w:eastAsia="宋体"/>
                      <w:color w:val="auto"/>
                      <w:lang w:val="en-US" w:eastAsia="zh-CN"/>
                    </w:rPr>
                  </w:pPr>
                  <w:r>
                    <w:rPr>
                      <w:rFonts w:hint="eastAsia"/>
                      <w:color w:val="auto"/>
                      <w:lang w:val="en-US" w:eastAsia="zh-CN"/>
                    </w:rPr>
                    <w:t>1293</w:t>
                  </w:r>
                  <w:r>
                    <w:rPr>
                      <w:rFonts w:hint="eastAsia"/>
                      <w:color w:val="auto"/>
                    </w:rPr>
                    <w:t>㎡</w:t>
                  </w:r>
                </w:p>
              </w:tc>
              <w:tc>
                <w:tcPr>
                  <w:tcW w:w="2557" w:type="dxa"/>
                  <w:vMerge w:val="continue"/>
                  <w:vAlign w:val="center"/>
                </w:tcPr>
                <w:p>
                  <w:pPr>
                    <w:pStyle w:val="57"/>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848" w:type="dxa"/>
                  <w:vAlign w:val="center"/>
                </w:tcPr>
                <w:p>
                  <w:pPr>
                    <w:pStyle w:val="57"/>
                    <w:rPr>
                      <w:rFonts w:hint="eastAsia"/>
                      <w:color w:val="auto"/>
                      <w:lang w:eastAsia="zh-CN"/>
                    </w:rPr>
                  </w:pPr>
                  <w:r>
                    <w:rPr>
                      <w:rFonts w:hint="eastAsia"/>
                      <w:color w:val="auto"/>
                      <w:lang w:eastAsia="zh-CN"/>
                    </w:rPr>
                    <w:t>隧洞工程临时施工用地</w:t>
                  </w:r>
                </w:p>
              </w:tc>
              <w:tc>
                <w:tcPr>
                  <w:tcW w:w="1562" w:type="dxa"/>
                  <w:vAlign w:val="center"/>
                </w:tcPr>
                <w:p>
                  <w:pPr>
                    <w:pStyle w:val="57"/>
                    <w:rPr>
                      <w:rFonts w:hint="eastAsia"/>
                      <w:color w:val="auto"/>
                    </w:rPr>
                  </w:pPr>
                  <w:r>
                    <w:rPr>
                      <w:rFonts w:hint="eastAsia"/>
                      <w:color w:val="auto"/>
                    </w:rPr>
                    <w:t>荒草地</w:t>
                  </w:r>
                </w:p>
              </w:tc>
              <w:tc>
                <w:tcPr>
                  <w:tcW w:w="1527" w:type="dxa"/>
                  <w:vAlign w:val="center"/>
                </w:tcPr>
                <w:p>
                  <w:pPr>
                    <w:pStyle w:val="57"/>
                    <w:rPr>
                      <w:rFonts w:hint="default"/>
                      <w:color w:val="auto"/>
                      <w:lang w:val="en-US" w:eastAsia="zh-CN"/>
                    </w:rPr>
                  </w:pPr>
                  <w:r>
                    <w:rPr>
                      <w:rFonts w:hint="eastAsia"/>
                      <w:color w:val="auto"/>
                      <w:lang w:val="en-US" w:eastAsia="zh-CN"/>
                    </w:rPr>
                    <w:t>7524</w:t>
                  </w:r>
                  <w:r>
                    <w:rPr>
                      <w:rFonts w:hint="eastAsia"/>
                      <w:color w:val="auto"/>
                    </w:rPr>
                    <w:t>㎡</w:t>
                  </w:r>
                </w:p>
              </w:tc>
              <w:tc>
                <w:tcPr>
                  <w:tcW w:w="2557" w:type="dxa"/>
                  <w:vMerge w:val="continue"/>
                  <w:vAlign w:val="center"/>
                </w:tcPr>
                <w:p>
                  <w:pPr>
                    <w:pStyle w:val="57"/>
                    <w:rPr>
                      <w:color w:val="auto"/>
                    </w:rPr>
                  </w:pPr>
                </w:p>
              </w:tc>
            </w:tr>
          </w:tbl>
          <w:p>
            <w:pPr>
              <w:ind w:firstLine="480"/>
              <w:rPr>
                <w:color w:val="auto"/>
              </w:rPr>
            </w:pPr>
            <w:r>
              <w:rPr>
                <w:rFonts w:hint="eastAsia"/>
                <w:color w:val="auto"/>
              </w:rPr>
              <w:t>（5）土石方平衡</w:t>
            </w:r>
          </w:p>
          <w:p>
            <w:pPr>
              <w:ind w:firstLine="480"/>
              <w:rPr>
                <w:color w:val="auto"/>
              </w:rPr>
            </w:pPr>
            <w:r>
              <w:rPr>
                <w:rFonts w:hint="eastAsia"/>
                <w:color w:val="auto"/>
              </w:rPr>
              <w:t>根据建设单位提供的资料，</w:t>
            </w:r>
            <w:r>
              <w:rPr>
                <w:rFonts w:hint="eastAsia"/>
                <w:color w:val="auto"/>
                <w:szCs w:val="24"/>
              </w:rPr>
              <w:t>本工程</w:t>
            </w:r>
            <w:r>
              <w:rPr>
                <w:color w:val="auto"/>
                <w:szCs w:val="24"/>
              </w:rPr>
              <w:t>土石方开挖总量约</w:t>
            </w:r>
            <w:r>
              <w:rPr>
                <w:rFonts w:hint="eastAsia"/>
                <w:color w:val="auto"/>
                <w:szCs w:val="24"/>
                <w:lang w:val="en-US" w:eastAsia="zh-CN"/>
              </w:rPr>
              <w:t>12000</w:t>
            </w:r>
            <w:r>
              <w:rPr>
                <w:color w:val="auto"/>
                <w:szCs w:val="24"/>
              </w:rPr>
              <w:t>m³，土石方回填总量约</w:t>
            </w:r>
            <w:r>
              <w:rPr>
                <w:rFonts w:hint="eastAsia"/>
                <w:color w:val="auto"/>
                <w:szCs w:val="24"/>
                <w:lang w:val="en-US" w:eastAsia="zh-CN"/>
              </w:rPr>
              <w:t>12</w:t>
            </w:r>
            <w:r>
              <w:rPr>
                <w:rFonts w:hint="eastAsia"/>
                <w:color w:val="auto"/>
                <w:szCs w:val="24"/>
              </w:rPr>
              <w:t>00</w:t>
            </w:r>
            <w:r>
              <w:rPr>
                <w:color w:val="auto"/>
                <w:szCs w:val="24"/>
              </w:rPr>
              <w:t>m³，废弃土石方约</w:t>
            </w:r>
            <w:r>
              <w:rPr>
                <w:rFonts w:hint="eastAsia"/>
                <w:color w:val="auto"/>
                <w:szCs w:val="24"/>
                <w:lang w:val="en-US" w:eastAsia="zh-CN"/>
              </w:rPr>
              <w:t>108</w:t>
            </w:r>
            <w:r>
              <w:rPr>
                <w:rFonts w:hint="eastAsia"/>
                <w:color w:val="auto"/>
                <w:szCs w:val="24"/>
              </w:rPr>
              <w:t>00</w:t>
            </w:r>
            <w:r>
              <w:rPr>
                <w:color w:val="auto"/>
                <w:szCs w:val="24"/>
              </w:rPr>
              <w:t>m³</w:t>
            </w:r>
            <w:r>
              <w:rPr>
                <w:rFonts w:hint="eastAsia"/>
                <w:color w:val="auto"/>
                <w:szCs w:val="24"/>
              </w:rPr>
              <w:t>，</w:t>
            </w:r>
            <w:r>
              <w:rPr>
                <w:color w:val="auto"/>
                <w:szCs w:val="24"/>
              </w:rPr>
              <w:t>弃方</w:t>
            </w:r>
            <w:r>
              <w:rPr>
                <w:rFonts w:hint="eastAsia"/>
                <w:color w:val="auto"/>
                <w:szCs w:val="24"/>
              </w:rPr>
              <w:t>堆放在临时弃渣场，优先用于回填，待平整场地后，多余的弃土弃渣统一将弃土运至城市市容卫生管理部门指定地点进行堆存。</w:t>
            </w:r>
          </w:p>
          <w:p>
            <w:pPr>
              <w:pStyle w:val="55"/>
              <w:ind w:firstLine="482"/>
              <w:rPr>
                <w:color w:val="auto"/>
              </w:rPr>
            </w:pPr>
            <w:r>
              <w:rPr>
                <w:rFonts w:hint="eastAsia"/>
                <w:color w:val="auto"/>
              </w:rPr>
              <w:t>8、工程占地</w:t>
            </w:r>
            <w:r>
              <w:rPr>
                <w:color w:val="auto"/>
              </w:rPr>
              <w:t>与补偿</w:t>
            </w:r>
          </w:p>
          <w:p>
            <w:pPr>
              <w:ind w:firstLine="480"/>
              <w:rPr>
                <w:color w:val="auto"/>
              </w:rPr>
            </w:pPr>
            <w:r>
              <w:rPr>
                <w:rFonts w:hint="eastAsia"/>
                <w:color w:val="auto"/>
              </w:rPr>
              <w:t>本工程水厂</w:t>
            </w:r>
            <w:r>
              <w:rPr>
                <w:rFonts w:hint="eastAsia"/>
                <w:color w:val="auto"/>
                <w:lang w:eastAsia="zh-CN"/>
              </w:rPr>
              <w:t>和进厂道路</w:t>
            </w:r>
            <w:r>
              <w:rPr>
                <w:rFonts w:hint="eastAsia"/>
                <w:color w:val="auto"/>
              </w:rPr>
              <w:t>占地为永久占地，共计荒草地</w:t>
            </w:r>
            <w:r>
              <w:rPr>
                <w:rFonts w:hint="eastAsia"/>
                <w:color w:val="auto"/>
                <w:lang w:val="en-US" w:eastAsia="zh-CN"/>
              </w:rPr>
              <w:t>2175</w:t>
            </w:r>
            <w:r>
              <w:rPr>
                <w:rFonts w:hint="eastAsia"/>
                <w:color w:val="auto"/>
              </w:rPr>
              <w:t>㎡。施工营造区主要布置施工所需要的施工临时办公生活生产用地和临时弃渣场，属于施工临时占用，这些施工临时用地充分利用工程周边的空闲荒草地等地域，不需要进行</w:t>
            </w:r>
            <w:r>
              <w:rPr>
                <w:rFonts w:hint="eastAsia"/>
                <w:color w:val="auto"/>
                <w:lang w:eastAsia="zh-CN"/>
              </w:rPr>
              <w:t>额外的</w:t>
            </w:r>
            <w:r>
              <w:rPr>
                <w:rFonts w:hint="eastAsia"/>
                <w:color w:val="auto"/>
              </w:rPr>
              <w:t>征地</w:t>
            </w:r>
            <w:r>
              <w:rPr>
                <w:rFonts w:hint="eastAsia"/>
                <w:color w:val="auto"/>
                <w:lang w:eastAsia="zh-CN"/>
              </w:rPr>
              <w:t>，项目的永久占地和临时占地均由西江镇区无偿奉献</w:t>
            </w:r>
            <w:r>
              <w:rPr>
                <w:rFonts w:hint="eastAsia"/>
                <w:color w:val="auto"/>
              </w:rPr>
              <w:t>。</w:t>
            </w:r>
          </w:p>
          <w:p>
            <w:pPr>
              <w:pStyle w:val="55"/>
              <w:ind w:firstLine="482"/>
              <w:rPr>
                <w:color w:val="auto"/>
              </w:rPr>
            </w:pPr>
            <w:r>
              <w:rPr>
                <w:rFonts w:hint="eastAsia"/>
                <w:color w:val="auto"/>
              </w:rPr>
              <w:t>9、产业政策及相关规划相符性分析</w:t>
            </w:r>
          </w:p>
          <w:p>
            <w:pPr>
              <w:ind w:firstLine="480"/>
              <w:rPr>
                <w:color w:val="auto"/>
              </w:rPr>
            </w:pPr>
            <w:r>
              <w:rPr>
                <w:rFonts w:hint="eastAsia"/>
                <w:color w:val="auto"/>
              </w:rPr>
              <w:t>经检索《产业结构调整指导目录（2019年本）》，本工程属于“二、水利”中的“城镇供水水源工程”，属于鼓励类。因此，本工程的建设与国家产业政策相符。</w:t>
            </w:r>
          </w:p>
          <w:p>
            <w:pPr>
              <w:spacing w:line="360" w:lineRule="auto"/>
              <w:ind w:firstLine="482" w:firstLineChars="200"/>
              <w:rPr>
                <w:b/>
                <w:bCs/>
                <w:color w:val="auto"/>
                <w:sz w:val="24"/>
                <w:szCs w:val="24"/>
              </w:rPr>
            </w:pPr>
            <w:r>
              <w:rPr>
                <w:rFonts w:hint="eastAsia"/>
                <w:b/>
                <w:bCs/>
                <w:color w:val="auto"/>
                <w:sz w:val="24"/>
                <w:szCs w:val="24"/>
                <w:lang w:val="en-US" w:eastAsia="zh-CN"/>
              </w:rPr>
              <w:t>10、</w:t>
            </w:r>
            <w:r>
              <w:rPr>
                <w:b/>
                <w:bCs/>
                <w:color w:val="auto"/>
                <w:sz w:val="24"/>
                <w:szCs w:val="24"/>
              </w:rPr>
              <w:t>项目与“三线一单”相符性分析</w:t>
            </w:r>
          </w:p>
          <w:p>
            <w:pPr>
              <w:spacing w:line="360" w:lineRule="auto"/>
              <w:ind w:firstLine="480" w:firstLineChars="200"/>
              <w:rPr>
                <w:color w:val="auto"/>
                <w:sz w:val="24"/>
                <w:szCs w:val="24"/>
              </w:rPr>
            </w:pPr>
            <w:r>
              <w:rPr>
                <w:color w:val="auto"/>
                <w:sz w:val="24"/>
                <w:szCs w:val="24"/>
              </w:rPr>
              <w:t>“三线一单”指的是“生态保护红线、环境质量底线、资源利用上线和生态环境准入清单”，本项目“三线一单”相符性分析见下表。</w:t>
            </w:r>
          </w:p>
          <w:p>
            <w:pPr>
              <w:ind w:firstLine="482" w:firstLineChars="200"/>
              <w:jc w:val="center"/>
              <w:rPr>
                <w:b/>
                <w:bCs/>
                <w:color w:val="auto"/>
                <w:sz w:val="24"/>
                <w:szCs w:val="24"/>
              </w:rPr>
            </w:pPr>
            <w:r>
              <w:rPr>
                <w:b/>
                <w:bCs/>
                <w:color w:val="auto"/>
                <w:sz w:val="24"/>
                <w:szCs w:val="24"/>
              </w:rPr>
              <w:t>表1-</w:t>
            </w:r>
            <w:r>
              <w:rPr>
                <w:rFonts w:hint="eastAsia"/>
                <w:b/>
                <w:bCs/>
                <w:color w:val="auto"/>
                <w:sz w:val="24"/>
                <w:szCs w:val="24"/>
              </w:rPr>
              <w:t>7</w:t>
            </w:r>
            <w:r>
              <w:rPr>
                <w:b/>
                <w:bCs/>
                <w:color w:val="auto"/>
                <w:sz w:val="24"/>
                <w:szCs w:val="24"/>
              </w:rPr>
              <w:t xml:space="preserve"> 本项目“三线一单”相符性分析</w:t>
            </w:r>
          </w:p>
          <w:tbl>
            <w:tblPr>
              <w:tblStyle w:val="39"/>
              <w:tblW w:w="8617"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01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02" w:type="dxa"/>
                  <w:noWrap w:val="0"/>
                  <w:vAlign w:val="center"/>
                </w:tcPr>
                <w:p>
                  <w:pPr>
                    <w:widowControl/>
                    <w:jc w:val="center"/>
                    <w:rPr>
                      <w:color w:val="auto"/>
                      <w:sz w:val="21"/>
                      <w:szCs w:val="21"/>
                    </w:rPr>
                  </w:pPr>
                  <w:r>
                    <w:rPr>
                      <w:color w:val="auto"/>
                      <w:sz w:val="21"/>
                      <w:szCs w:val="21"/>
                    </w:rPr>
                    <w:t>内容</w:t>
                  </w:r>
                </w:p>
              </w:tc>
              <w:tc>
                <w:tcPr>
                  <w:tcW w:w="7015" w:type="dxa"/>
                  <w:noWrap w:val="0"/>
                  <w:vAlign w:val="center"/>
                </w:tcPr>
                <w:p>
                  <w:pPr>
                    <w:widowControl/>
                    <w:jc w:val="center"/>
                    <w:rPr>
                      <w:color w:val="auto"/>
                      <w:sz w:val="21"/>
                      <w:szCs w:val="21"/>
                    </w:rPr>
                  </w:pPr>
                  <w:r>
                    <w:rPr>
                      <w:color w:val="auto"/>
                      <w:sz w:val="21"/>
                      <w:szCs w:val="21"/>
                    </w:rPr>
                    <w:t>相符性分析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02" w:type="dxa"/>
                  <w:noWrap w:val="0"/>
                  <w:vAlign w:val="center"/>
                </w:tcPr>
                <w:p>
                  <w:pPr>
                    <w:widowControl/>
                    <w:spacing w:line="240" w:lineRule="auto"/>
                    <w:ind w:firstLine="0" w:firstLineChars="0"/>
                    <w:jc w:val="center"/>
                    <w:rPr>
                      <w:color w:val="auto"/>
                      <w:sz w:val="21"/>
                      <w:szCs w:val="21"/>
                    </w:rPr>
                  </w:pPr>
                  <w:r>
                    <w:rPr>
                      <w:color w:val="auto"/>
                      <w:sz w:val="21"/>
                      <w:szCs w:val="21"/>
                    </w:rPr>
                    <w:t>生态保护红线</w:t>
                  </w:r>
                </w:p>
              </w:tc>
              <w:tc>
                <w:tcPr>
                  <w:tcW w:w="7015" w:type="dxa"/>
                  <w:noWrap w:val="0"/>
                  <w:vAlign w:val="center"/>
                </w:tcPr>
                <w:p>
                  <w:pPr>
                    <w:widowControl/>
                    <w:spacing w:line="240" w:lineRule="auto"/>
                    <w:ind w:firstLine="0" w:firstLineChars="0"/>
                    <w:jc w:val="center"/>
                    <w:rPr>
                      <w:color w:val="auto"/>
                      <w:sz w:val="21"/>
                      <w:szCs w:val="21"/>
                    </w:rPr>
                  </w:pPr>
                  <w:r>
                    <w:rPr>
                      <w:color w:val="auto"/>
                      <w:sz w:val="21"/>
                      <w:szCs w:val="21"/>
                    </w:rPr>
                    <w:t>根据广东省生态功能控制区图，本项目未占用广东省严格控制区，占地属于有限开发区，因此本项目不涉及生态严控区。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02" w:type="dxa"/>
                  <w:noWrap w:val="0"/>
                  <w:vAlign w:val="center"/>
                </w:tcPr>
                <w:p>
                  <w:pPr>
                    <w:widowControl/>
                    <w:spacing w:line="240" w:lineRule="auto"/>
                    <w:ind w:firstLine="0" w:firstLineChars="0"/>
                    <w:jc w:val="center"/>
                    <w:rPr>
                      <w:color w:val="auto"/>
                      <w:sz w:val="21"/>
                      <w:szCs w:val="21"/>
                    </w:rPr>
                  </w:pPr>
                  <w:r>
                    <w:rPr>
                      <w:color w:val="auto"/>
                      <w:sz w:val="21"/>
                      <w:szCs w:val="21"/>
                    </w:rPr>
                    <w:t>环境质量底线</w:t>
                  </w:r>
                </w:p>
              </w:tc>
              <w:tc>
                <w:tcPr>
                  <w:tcW w:w="7015" w:type="dxa"/>
                  <w:noWrap w:val="0"/>
                  <w:vAlign w:val="center"/>
                </w:tcPr>
                <w:p>
                  <w:pPr>
                    <w:widowControl/>
                    <w:spacing w:line="240" w:lineRule="auto"/>
                    <w:ind w:firstLine="0" w:firstLineChars="0"/>
                    <w:jc w:val="center"/>
                    <w:rPr>
                      <w:color w:val="auto"/>
                      <w:sz w:val="21"/>
                      <w:szCs w:val="21"/>
                    </w:rPr>
                  </w:pPr>
                  <w:r>
                    <w:rPr>
                      <w:color w:val="auto"/>
                      <w:sz w:val="21"/>
                      <w:szCs w:val="21"/>
                    </w:rPr>
                    <w:t>本项目周边大气环境质量</w:t>
                  </w:r>
                  <w:r>
                    <w:rPr>
                      <w:rFonts w:hint="eastAsia"/>
                      <w:color w:val="auto"/>
                      <w:sz w:val="21"/>
                      <w:szCs w:val="21"/>
                      <w:lang w:eastAsia="zh-CN"/>
                    </w:rPr>
                    <w:t>和</w:t>
                  </w:r>
                  <w:r>
                    <w:rPr>
                      <w:color w:val="auto"/>
                      <w:sz w:val="21"/>
                      <w:szCs w:val="21"/>
                    </w:rPr>
                    <w:t>声环境质量均能满足相应的质量标准，根据环境影响分析章节可知，本项目排放的各类污染物均达标排放，</w:t>
                  </w:r>
                  <w:r>
                    <w:rPr>
                      <w:rFonts w:hint="eastAsia"/>
                      <w:color w:val="auto"/>
                      <w:sz w:val="21"/>
                      <w:szCs w:val="21"/>
                      <w:lang w:eastAsia="zh-CN"/>
                    </w:rPr>
                    <w:t>项目不外排废水，对西江水的影响可以忽略。因此本项目</w:t>
                  </w:r>
                  <w:r>
                    <w:rPr>
                      <w:color w:val="auto"/>
                      <w:sz w:val="21"/>
                      <w:szCs w:val="21"/>
                    </w:rPr>
                    <w:t>对环境影响较小，符合环境质量底线的要求。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02" w:type="dxa"/>
                  <w:noWrap w:val="0"/>
                  <w:vAlign w:val="center"/>
                </w:tcPr>
                <w:p>
                  <w:pPr>
                    <w:widowControl/>
                    <w:spacing w:line="240" w:lineRule="auto"/>
                    <w:ind w:firstLine="0" w:firstLineChars="0"/>
                    <w:jc w:val="center"/>
                    <w:rPr>
                      <w:color w:val="auto"/>
                      <w:sz w:val="21"/>
                      <w:szCs w:val="21"/>
                    </w:rPr>
                  </w:pPr>
                  <w:r>
                    <w:rPr>
                      <w:color w:val="auto"/>
                      <w:sz w:val="21"/>
                      <w:szCs w:val="21"/>
                    </w:rPr>
                    <w:t>资源利用上线</w:t>
                  </w:r>
                </w:p>
              </w:tc>
              <w:tc>
                <w:tcPr>
                  <w:tcW w:w="7015" w:type="dxa"/>
                  <w:noWrap w:val="0"/>
                  <w:vAlign w:val="center"/>
                </w:tcPr>
                <w:p>
                  <w:pPr>
                    <w:widowControl/>
                    <w:spacing w:line="240" w:lineRule="auto"/>
                    <w:ind w:firstLine="0" w:firstLineChars="0"/>
                    <w:jc w:val="center"/>
                    <w:rPr>
                      <w:color w:val="auto"/>
                      <w:sz w:val="21"/>
                      <w:szCs w:val="21"/>
                    </w:rPr>
                  </w:pPr>
                  <w:r>
                    <w:rPr>
                      <w:color w:val="auto"/>
                      <w:sz w:val="21"/>
                      <w:szCs w:val="21"/>
                    </w:rPr>
                    <w:t>本项目用地符合规划，无需生活用水，用电自给自足，符合资源利用上线要求。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02" w:type="dxa"/>
                  <w:noWrap w:val="0"/>
                  <w:vAlign w:val="center"/>
                </w:tcPr>
                <w:p>
                  <w:pPr>
                    <w:widowControl/>
                    <w:spacing w:line="240" w:lineRule="auto"/>
                    <w:ind w:firstLine="0" w:firstLineChars="0"/>
                    <w:jc w:val="center"/>
                    <w:rPr>
                      <w:color w:val="auto"/>
                      <w:sz w:val="21"/>
                      <w:szCs w:val="21"/>
                    </w:rPr>
                  </w:pPr>
                  <w:r>
                    <w:rPr>
                      <w:color w:val="auto"/>
                      <w:sz w:val="21"/>
                      <w:szCs w:val="21"/>
                    </w:rPr>
                    <w:t>生态环境准入清单</w:t>
                  </w:r>
                </w:p>
              </w:tc>
              <w:tc>
                <w:tcPr>
                  <w:tcW w:w="7015" w:type="dxa"/>
                  <w:noWrap w:val="0"/>
                  <w:vAlign w:val="center"/>
                </w:tcPr>
                <w:p>
                  <w:pPr>
                    <w:widowControl/>
                    <w:spacing w:line="240" w:lineRule="auto"/>
                    <w:ind w:firstLine="0" w:firstLineChars="0"/>
                    <w:jc w:val="center"/>
                    <w:rPr>
                      <w:color w:val="auto"/>
                      <w:sz w:val="21"/>
                      <w:szCs w:val="21"/>
                    </w:rPr>
                  </w:pPr>
                  <w:r>
                    <w:rPr>
                      <w:rFonts w:hint="eastAsia"/>
                      <w:color w:val="auto"/>
                      <w:sz w:val="21"/>
                      <w:szCs w:val="21"/>
                    </w:rPr>
                    <w:t>本工程属于“二、水利”中的“城镇供水水源工程”，属于鼓励类</w:t>
                  </w:r>
                  <w:r>
                    <w:rPr>
                      <w:color w:val="auto"/>
                      <w:sz w:val="21"/>
                      <w:szCs w:val="21"/>
                    </w:rPr>
                    <w:t>，符合环境准入负面清单要求。</w:t>
                  </w:r>
                </w:p>
              </w:tc>
            </w:tr>
          </w:tbl>
          <w:p>
            <w:pPr>
              <w:ind w:left="15" w:firstLine="420" w:firstLineChars="175"/>
              <w:rPr>
                <w:rFonts w:hint="eastAsia"/>
                <w:color w:val="auto"/>
              </w:rPr>
            </w:pPr>
            <w:r>
              <w:rPr>
                <w:color w:val="auto"/>
                <w:sz w:val="24"/>
                <w:szCs w:val="24"/>
              </w:rPr>
              <w:t>因此本项目的建设符合生态保护红线、环境质量底线、资源利用上线和环境准入负面清单的要求。</w:t>
            </w:r>
          </w:p>
          <w:p>
            <w:pPr>
              <w:pStyle w:val="55"/>
              <w:ind w:firstLine="482"/>
              <w:rPr>
                <w:color w:val="auto"/>
              </w:rPr>
            </w:pPr>
            <w:r>
              <w:rPr>
                <w:rFonts w:hint="eastAsia"/>
                <w:color w:val="auto"/>
              </w:rPr>
              <w:t>1</w:t>
            </w:r>
            <w:r>
              <w:rPr>
                <w:rFonts w:hint="eastAsia"/>
                <w:color w:val="auto"/>
                <w:lang w:val="en-US" w:eastAsia="zh-CN"/>
              </w:rPr>
              <w:t>1</w:t>
            </w:r>
            <w:r>
              <w:rPr>
                <w:rFonts w:hint="eastAsia"/>
                <w:color w:val="auto"/>
              </w:rPr>
              <w:t>、</w:t>
            </w:r>
            <w:r>
              <w:rPr>
                <w:rFonts w:hint="eastAsia"/>
                <w:color w:val="auto"/>
                <w:lang w:eastAsia="zh-CN"/>
              </w:rPr>
              <w:t>八一</w:t>
            </w:r>
            <w:r>
              <w:rPr>
                <w:rFonts w:hint="eastAsia"/>
                <w:color w:val="auto"/>
              </w:rPr>
              <w:t>水库基本情况介绍</w:t>
            </w:r>
          </w:p>
          <w:p>
            <w:pPr>
              <w:ind w:firstLine="480"/>
              <w:rPr>
                <w:rFonts w:hint="eastAsia"/>
                <w:color w:val="auto"/>
              </w:rPr>
            </w:pPr>
            <w:r>
              <w:rPr>
                <w:rFonts w:hint="eastAsia"/>
                <w:color w:val="auto"/>
                <w:lang w:eastAsia="zh-CN"/>
              </w:rPr>
              <w:t>八一</w:t>
            </w:r>
            <w:r>
              <w:rPr>
                <w:rFonts w:hint="eastAsia"/>
                <w:color w:val="auto"/>
              </w:rPr>
              <w:t>水库离连州市府所在地连州镇约</w:t>
            </w:r>
            <w:r>
              <w:rPr>
                <w:rFonts w:hint="eastAsia"/>
                <w:color w:val="auto"/>
                <w:lang w:val="en-US" w:eastAsia="zh-CN"/>
              </w:rPr>
              <w:t>21</w:t>
            </w:r>
            <w:r>
              <w:rPr>
                <w:rFonts w:hint="eastAsia"/>
                <w:color w:val="auto"/>
              </w:rPr>
              <w:t>km，距</w:t>
            </w:r>
            <w:r>
              <w:rPr>
                <w:rFonts w:hint="eastAsia"/>
                <w:color w:val="auto"/>
                <w:lang w:eastAsia="zh-CN"/>
              </w:rPr>
              <w:t>西江</w:t>
            </w:r>
            <w:r>
              <w:rPr>
                <w:rFonts w:hint="eastAsia"/>
                <w:color w:val="auto"/>
              </w:rPr>
              <w:t>镇直线距离</w:t>
            </w:r>
            <w:r>
              <w:rPr>
                <w:rFonts w:hint="eastAsia"/>
                <w:color w:val="auto"/>
                <w:lang w:val="en-US" w:eastAsia="zh-CN"/>
              </w:rPr>
              <w:t>400</w:t>
            </w:r>
            <w:r>
              <w:rPr>
                <w:rFonts w:hint="eastAsia"/>
                <w:color w:val="auto"/>
              </w:rPr>
              <w:t>m左右，属于小</w:t>
            </w: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型水库，处于北江支流连江（也称小北江）之二级支流步津水（即黄桥水）</w:t>
            </w:r>
            <w:r>
              <w:rPr>
                <w:rFonts w:hint="eastAsia"/>
                <w:color w:val="auto"/>
                <w:lang w:eastAsia="zh-CN"/>
              </w:rPr>
              <w:t>的一级支流</w:t>
            </w:r>
            <w:r>
              <w:rPr>
                <w:rFonts w:hint="eastAsia"/>
                <w:color w:val="auto"/>
              </w:rPr>
              <w:t>，</w:t>
            </w:r>
            <w:r>
              <w:rPr>
                <w:rFonts w:hint="eastAsia"/>
                <w:color w:val="auto"/>
                <w:lang w:eastAsia="zh-CN"/>
              </w:rPr>
              <w:t>新建隧洞出口坐标为：24°44'27.80"北，112°34'57.61"东。经检索</w:t>
            </w:r>
            <w:r>
              <w:rPr>
                <w:rFonts w:hint="eastAsia"/>
                <w:color w:val="auto"/>
              </w:rPr>
              <w:t>《广东省地表水环境功能区划》</w:t>
            </w:r>
            <w:r>
              <w:rPr>
                <w:rFonts w:hint="eastAsia"/>
                <w:color w:val="auto"/>
                <w:lang w:eastAsia="zh-CN"/>
              </w:rPr>
              <w:t>可知</w:t>
            </w:r>
            <w:r>
              <w:rPr>
                <w:rFonts w:hint="eastAsia"/>
                <w:color w:val="auto"/>
              </w:rPr>
              <w:t>，</w:t>
            </w:r>
            <w:r>
              <w:rPr>
                <w:rFonts w:hint="eastAsia"/>
                <w:color w:val="auto"/>
                <w:lang w:eastAsia="zh-CN"/>
              </w:rPr>
              <w:t>八一</w:t>
            </w:r>
            <w:r>
              <w:rPr>
                <w:rFonts w:hint="eastAsia"/>
                <w:color w:val="auto"/>
              </w:rPr>
              <w:t>水库暂无水域功能和水质目标规划，且</w:t>
            </w:r>
            <w:r>
              <w:rPr>
                <w:rFonts w:hint="eastAsia"/>
                <w:color w:val="auto"/>
                <w:lang w:eastAsia="zh-CN"/>
              </w:rPr>
              <w:t>八一</w:t>
            </w:r>
            <w:r>
              <w:rPr>
                <w:rFonts w:hint="eastAsia"/>
                <w:color w:val="auto"/>
              </w:rPr>
              <w:t>水库不</w:t>
            </w:r>
            <w:r>
              <w:rPr>
                <w:rFonts w:hint="eastAsia"/>
                <w:color w:val="auto"/>
                <w:lang w:eastAsia="zh-CN"/>
              </w:rPr>
              <w:t>属于集中式饮用水源保护区</w:t>
            </w:r>
            <w:r>
              <w:rPr>
                <w:rFonts w:hint="eastAsia"/>
                <w:color w:val="auto"/>
              </w:rPr>
              <w:t>。</w:t>
            </w:r>
          </w:p>
          <w:p>
            <w:pPr>
              <w:widowControl/>
              <w:ind w:firstLine="480" w:firstLineChars="200"/>
              <w:jc w:val="both"/>
              <w:rPr>
                <w:rFonts w:hint="eastAsia" w:ascii="宋体" w:hAnsi="宋体" w:eastAsia="宋体" w:cs="宋体"/>
                <w:color w:val="auto"/>
                <w:kern w:val="0"/>
                <w:sz w:val="24"/>
                <w:szCs w:val="24"/>
                <w:lang w:val="en-US" w:eastAsia="zh-CN" w:bidi="ar"/>
              </w:rPr>
            </w:pPr>
            <w:r>
              <w:rPr>
                <w:rFonts w:hint="eastAsia"/>
                <w:color w:val="auto"/>
                <w:lang w:eastAsia="zh-CN"/>
              </w:rPr>
              <w:t>八一</w:t>
            </w:r>
            <w:r>
              <w:rPr>
                <w:rFonts w:hint="eastAsia"/>
                <w:color w:val="auto"/>
              </w:rPr>
              <w:t>水库集水区内地形为高丘陵、低山和高山，土壤以壤土为主，少量为透水性中粘土，林木为针叶林和阔叶林相间，植被覆盖良好。</w:t>
            </w:r>
            <w:r>
              <w:rPr>
                <w:rFonts w:hint="eastAsia"/>
                <w:color w:val="auto"/>
                <w:lang w:eastAsia="zh-CN"/>
              </w:rPr>
              <w:t>八一</w:t>
            </w:r>
            <w:r>
              <w:rPr>
                <w:rFonts w:hint="eastAsia"/>
                <w:color w:val="auto"/>
              </w:rPr>
              <w:t>水库集水面积</w:t>
            </w:r>
            <w:r>
              <w:rPr>
                <w:rFonts w:hint="eastAsia"/>
                <w:color w:val="auto"/>
                <w:lang w:val="en-US" w:eastAsia="zh-CN"/>
              </w:rPr>
              <w:t>1.2</w:t>
            </w:r>
            <w:r>
              <w:rPr>
                <w:rFonts w:hint="eastAsia"/>
                <w:color w:val="auto"/>
              </w:rPr>
              <w:t>k</w:t>
            </w:r>
            <w:r>
              <w:rPr>
                <w:rFonts w:hint="eastAsia"/>
                <w:color w:val="auto"/>
                <w:lang w:val="en-US" w:eastAsia="zh-CN"/>
              </w:rPr>
              <w:t>m</w:t>
            </w:r>
            <w:r>
              <w:rPr>
                <w:rFonts w:hint="eastAsia"/>
                <w:color w:val="auto"/>
                <w:vertAlign w:val="superscript"/>
                <w:lang w:val="en-US" w:eastAsia="zh-CN"/>
              </w:rPr>
              <w:t>2</w:t>
            </w:r>
            <w:r>
              <w:rPr>
                <w:rFonts w:hint="eastAsia"/>
                <w:color w:val="auto"/>
              </w:rPr>
              <w:t>，主坝高</w:t>
            </w:r>
            <w:r>
              <w:rPr>
                <w:rFonts w:hint="eastAsia"/>
                <w:color w:val="auto"/>
                <w:lang w:val="en-US" w:eastAsia="zh-CN"/>
              </w:rPr>
              <w:t>7.2</w:t>
            </w:r>
            <w:r>
              <w:rPr>
                <w:rFonts w:hint="eastAsia"/>
                <w:color w:val="auto"/>
              </w:rPr>
              <w:t>m，坝顶长</w:t>
            </w:r>
            <w:r>
              <w:rPr>
                <w:rFonts w:hint="eastAsia"/>
                <w:color w:val="auto"/>
                <w:lang w:val="en-US" w:eastAsia="zh-CN"/>
              </w:rPr>
              <w:t>101</w:t>
            </w:r>
            <w:r>
              <w:rPr>
                <w:rFonts w:hint="eastAsia"/>
                <w:color w:val="auto"/>
              </w:rPr>
              <w:t>m，</w:t>
            </w:r>
            <w:r>
              <w:rPr>
                <w:rFonts w:hint="eastAsia" w:ascii="宋体" w:hAnsi="宋体" w:eastAsia="宋体" w:cs="宋体"/>
                <w:color w:val="auto"/>
                <w:kern w:val="0"/>
                <w:sz w:val="24"/>
                <w:szCs w:val="24"/>
                <w:lang w:val="en-US" w:eastAsia="zh-CN" w:bidi="ar"/>
              </w:rPr>
              <w:t>经测量，本水库最大坝高为</w:t>
            </w:r>
            <w:r>
              <w:rPr>
                <w:rFonts w:hint="default" w:ascii="Times New Roman" w:hAnsi="Times New Roman" w:eastAsia="宋体" w:cs="Times New Roman"/>
                <w:color w:val="auto"/>
                <w:kern w:val="0"/>
                <w:sz w:val="24"/>
                <w:szCs w:val="24"/>
                <w:lang w:val="en-US" w:eastAsia="zh-CN" w:bidi="ar"/>
              </w:rPr>
              <w:t>7.2m</w:t>
            </w:r>
            <w:r>
              <w:rPr>
                <w:rFonts w:hint="eastAsia" w:ascii="宋体" w:hAnsi="宋体" w:eastAsia="宋体" w:cs="宋体"/>
                <w:color w:val="auto"/>
                <w:kern w:val="0"/>
                <w:sz w:val="24"/>
                <w:szCs w:val="24"/>
                <w:lang w:val="en-US" w:eastAsia="zh-CN" w:bidi="ar"/>
              </w:rPr>
              <w:t>，大坝坝顶高程</w:t>
            </w:r>
            <w:r>
              <w:rPr>
                <w:rFonts w:hint="default" w:ascii="Times New Roman" w:hAnsi="Times New Roman" w:eastAsia="宋体" w:cs="Times New Roman"/>
                <w:color w:val="auto"/>
                <w:kern w:val="0"/>
                <w:sz w:val="24"/>
                <w:szCs w:val="24"/>
                <w:lang w:val="en-US" w:eastAsia="zh-CN" w:bidi="ar"/>
              </w:rPr>
              <w:t>566.0m</w:t>
            </w:r>
            <w:r>
              <w:rPr>
                <w:rFonts w:hint="eastAsia" w:ascii="宋体" w:hAnsi="宋体" w:eastAsia="宋体" w:cs="宋体"/>
                <w:color w:val="auto"/>
                <w:kern w:val="0"/>
                <w:sz w:val="24"/>
                <w:szCs w:val="24"/>
                <w:lang w:val="en-US" w:eastAsia="zh-CN" w:bidi="ar"/>
              </w:rPr>
              <w:t>，校核水位为</w:t>
            </w:r>
            <w:r>
              <w:rPr>
                <w:rFonts w:hint="default" w:ascii="Times New Roman" w:hAnsi="Times New Roman" w:eastAsia="宋体" w:cs="Times New Roman"/>
                <w:color w:val="auto"/>
                <w:kern w:val="0"/>
                <w:sz w:val="24"/>
                <w:szCs w:val="24"/>
                <w:lang w:val="en-US" w:eastAsia="zh-CN" w:bidi="ar"/>
              </w:rPr>
              <w:t>565.10m</w:t>
            </w:r>
            <w:r>
              <w:rPr>
                <w:rFonts w:hint="eastAsia" w:ascii="宋体" w:hAnsi="宋体" w:eastAsia="宋体" w:cs="宋体"/>
                <w:color w:val="auto"/>
                <w:kern w:val="0"/>
                <w:sz w:val="24"/>
                <w:szCs w:val="24"/>
                <w:lang w:val="en-US" w:eastAsia="zh-CN" w:bidi="ar"/>
              </w:rPr>
              <w:t>，设计水位</w:t>
            </w:r>
            <w:r>
              <w:rPr>
                <w:rFonts w:hint="default" w:ascii="Times New Roman" w:hAnsi="Times New Roman" w:eastAsia="宋体" w:cs="Times New Roman"/>
                <w:color w:val="auto"/>
                <w:kern w:val="0"/>
                <w:sz w:val="24"/>
                <w:szCs w:val="24"/>
                <w:lang w:val="en-US" w:eastAsia="zh-CN" w:bidi="ar"/>
              </w:rPr>
              <w:t>564.7m</w:t>
            </w:r>
            <w:r>
              <w:rPr>
                <w:rFonts w:hint="eastAsia" w:ascii="宋体" w:hAnsi="宋体" w:eastAsia="宋体" w:cs="宋体"/>
                <w:color w:val="auto"/>
                <w:kern w:val="0"/>
                <w:sz w:val="24"/>
                <w:szCs w:val="24"/>
                <w:lang w:val="en-US" w:eastAsia="zh-CN" w:bidi="ar"/>
              </w:rPr>
              <w:t>，正常水位</w:t>
            </w:r>
            <w:r>
              <w:rPr>
                <w:rFonts w:hint="default" w:ascii="Times New Roman" w:hAnsi="Times New Roman" w:eastAsia="宋体" w:cs="Times New Roman"/>
                <w:color w:val="auto"/>
                <w:kern w:val="0"/>
                <w:sz w:val="24"/>
                <w:szCs w:val="24"/>
                <w:lang w:val="en-US" w:eastAsia="zh-CN" w:bidi="ar"/>
              </w:rPr>
              <w:t>563.00m</w:t>
            </w:r>
            <w:r>
              <w:rPr>
                <w:rFonts w:hint="eastAsia" w:ascii="宋体" w:hAnsi="宋体" w:eastAsia="宋体" w:cs="宋体"/>
                <w:color w:val="auto"/>
                <w:kern w:val="0"/>
                <w:sz w:val="24"/>
                <w:szCs w:val="24"/>
                <w:lang w:val="en-US" w:eastAsia="zh-CN" w:bidi="ar"/>
              </w:rPr>
              <w:t>。由此查库容曲线，可得水库总库容为</w:t>
            </w:r>
            <w:r>
              <w:rPr>
                <w:rFonts w:hint="default" w:ascii="Times New Roman" w:hAnsi="Times New Roman" w:eastAsia="宋体" w:cs="Times New Roman"/>
                <w:color w:val="auto"/>
                <w:kern w:val="0"/>
                <w:sz w:val="24"/>
                <w:szCs w:val="24"/>
                <w:lang w:val="en-US" w:eastAsia="zh-CN" w:bidi="ar"/>
              </w:rPr>
              <w:t>28.0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³，水库设计库容为</w:t>
            </w:r>
            <w:r>
              <w:rPr>
                <w:rFonts w:hint="default" w:ascii="Times New Roman" w:hAnsi="Times New Roman" w:eastAsia="宋体" w:cs="Times New Roman"/>
                <w:color w:val="auto"/>
                <w:kern w:val="0"/>
                <w:sz w:val="24"/>
                <w:szCs w:val="24"/>
                <w:lang w:val="en-US" w:eastAsia="zh-CN" w:bidi="ar"/>
              </w:rPr>
              <w:t>27.0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³。正常库容为</w:t>
            </w:r>
            <w:r>
              <w:rPr>
                <w:rFonts w:hint="default" w:ascii="Times New Roman" w:hAnsi="Times New Roman" w:eastAsia="宋体" w:cs="Times New Roman"/>
                <w:color w:val="auto"/>
                <w:kern w:val="0"/>
                <w:sz w:val="24"/>
                <w:szCs w:val="24"/>
                <w:lang w:val="en-US" w:eastAsia="zh-CN" w:bidi="ar"/>
              </w:rPr>
              <w:t>18.0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³。</w:t>
            </w:r>
          </w:p>
          <w:p>
            <w:pPr>
              <w:ind w:firstLine="480"/>
              <w:rPr>
                <w:color w:val="auto"/>
              </w:rPr>
            </w:pPr>
            <w:r>
              <w:rPr>
                <w:rFonts w:hint="eastAsia"/>
                <w:color w:val="auto"/>
              </w:rPr>
              <w:t>水库及库区内山青水秀，水质极好（库区内无污染源），该水库水源为山泉水和浅层地下水，水质清澈透明，取水口以上无任何污染源，只是雨水季节水质有些浑浊。经连州市卫生防疫站检测，其源水水质各项指标基本达到《地表水环境质量标准》</w:t>
            </w:r>
            <w:r>
              <w:rPr>
                <w:rFonts w:hint="eastAsia"/>
                <w:color w:val="auto"/>
                <w:lang w:eastAsia="zh-CN"/>
              </w:rPr>
              <w:t>（</w:t>
            </w:r>
            <w:r>
              <w:rPr>
                <w:rFonts w:hint="eastAsia"/>
                <w:color w:val="auto"/>
              </w:rPr>
              <w:t>GB3838-2002</w:t>
            </w:r>
            <w:r>
              <w:rPr>
                <w:rFonts w:hint="eastAsia"/>
                <w:color w:val="auto"/>
                <w:lang w:eastAsia="zh-CN"/>
              </w:rPr>
              <w:t>）</w:t>
            </w:r>
            <w:r>
              <w:rPr>
                <w:rFonts w:hint="eastAsia" w:ascii="宋体" w:hAnsi="宋体" w:eastAsia="宋体" w:cs="宋体"/>
                <w:color w:val="auto"/>
              </w:rPr>
              <w:t>Ⅲ</w:t>
            </w:r>
            <w:r>
              <w:rPr>
                <w:rFonts w:hint="eastAsia" w:ascii="宋体" w:hAnsi="宋体" w:eastAsia="宋体" w:cs="宋体"/>
                <w:color w:val="auto"/>
                <w:lang w:eastAsia="zh-CN"/>
              </w:rPr>
              <w:t>类</w:t>
            </w:r>
            <w:r>
              <w:rPr>
                <w:rFonts w:hint="eastAsia"/>
                <w:color w:val="auto"/>
              </w:rPr>
              <w:t>以上水域的质量标准，其水质满足饮用水水源的卫生要求，极宜于工业与民用供水。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gridSpan w:val="7"/>
            <w:vAlign w:val="center"/>
          </w:tcPr>
          <w:p>
            <w:pPr>
              <w:ind w:firstLine="0" w:firstLineChars="0"/>
            </w:pPr>
            <w:r>
              <w:t>与本工程有关的原有污染情况及主要环境问题</w:t>
            </w:r>
          </w:p>
          <w:p>
            <w:pPr>
              <w:ind w:firstLine="480"/>
              <w:rPr>
                <w:rFonts w:hint="eastAsia"/>
              </w:rPr>
            </w:pPr>
            <w:r>
              <w:rPr>
                <w:rFonts w:hint="eastAsia"/>
                <w:lang w:eastAsia="zh-CN"/>
              </w:rPr>
              <w:t>西江镇现在仍未建设供水水厂，雨季时，水源比较充足，能够满足镇区居民日常需求，旱季时镇区供水紧张，需要从老莫洞水库抽水方可满足镇区用水需求。</w:t>
            </w:r>
            <w:r>
              <w:rPr>
                <w:rFonts w:hint="eastAsia"/>
              </w:rPr>
              <w:t>根据建设单位提供的资料，</w:t>
            </w:r>
            <w:r>
              <w:rPr>
                <w:rFonts w:hint="eastAsia"/>
                <w:lang w:eastAsia="zh-CN"/>
              </w:rPr>
              <w:t>西江镇区原有供水方式</w:t>
            </w:r>
            <w:r>
              <w:rPr>
                <w:rFonts w:hint="eastAsia"/>
              </w:rPr>
              <w:t>不存在环境问题</w:t>
            </w:r>
            <w:r>
              <w:rPr>
                <w:rFonts w:hint="eastAsia"/>
                <w:lang w:eastAsia="zh-CN"/>
              </w:rPr>
              <w:t>。随着西江镇人民和工业区日益增长的用水需求，拟在西江镇区内新建一座供水水厂，作为补充水源</w:t>
            </w:r>
            <w:r>
              <w:rPr>
                <w:rFonts w:hint="eastAsia"/>
              </w:rPr>
              <w:t>。</w:t>
            </w:r>
          </w:p>
          <w:p>
            <w:pPr>
              <w:ind w:firstLine="480"/>
              <w:rPr>
                <w:rFonts w:hint="eastAsia"/>
              </w:rPr>
            </w:pPr>
            <w:r>
              <w:rPr>
                <w:rFonts w:hint="eastAsia"/>
              </w:rPr>
              <w:t>本工程位于</w:t>
            </w:r>
            <w:r>
              <w:rPr>
                <w:rFonts w:hint="eastAsia"/>
                <w:lang w:eastAsia="zh-CN"/>
              </w:rPr>
              <w:t>连州市西江镇区</w:t>
            </w:r>
            <w:r>
              <w:rPr>
                <w:rFonts w:hint="eastAsia"/>
              </w:rPr>
              <w:t>，其水厂场址中心地理坐标：</w:t>
            </w:r>
            <w:r>
              <w:rPr>
                <w:rFonts w:hint="eastAsia"/>
                <w:lang w:eastAsia="zh-CN"/>
              </w:rPr>
              <w:t>112°35'22.27"东、24°45'31.50"北</w:t>
            </w:r>
            <w:r>
              <w:rPr>
                <w:rFonts w:hint="eastAsia"/>
              </w:rPr>
              <w:t>，属于农村地区，附近基本上是</w:t>
            </w:r>
            <w:r>
              <w:rPr>
                <w:rFonts w:hint="eastAsia"/>
                <w:lang w:eastAsia="zh-CN"/>
              </w:rPr>
              <w:t>工业区、村庄、灌木丛和</w:t>
            </w:r>
            <w:r>
              <w:rPr>
                <w:rFonts w:hint="eastAsia"/>
              </w:rPr>
              <w:t>草地。根据现场踏勘，周围没有不利于本工程的污染因素存在，区域内无重大污染源，区域环境质量较好。因此与工程相关的原有污染问题主要为附近居民区人类活动过程产生的生活垃圾</w:t>
            </w:r>
            <w:r>
              <w:rPr>
                <w:rFonts w:hint="eastAsia"/>
                <w:lang w:eastAsia="zh-CN"/>
              </w:rPr>
              <w:t>、工业固体废物</w:t>
            </w:r>
            <w:r>
              <w:rPr>
                <w:rFonts w:hint="eastAsia"/>
              </w:rPr>
              <w:t>和噪声。</w:t>
            </w:r>
          </w:p>
          <w:p>
            <w:pPr>
              <w:pStyle w:val="2"/>
              <w:rPr>
                <w:rFonts w:hint="eastAsia"/>
              </w:rPr>
            </w:pPr>
          </w:p>
          <w:p>
            <w:pPr>
              <w:pStyle w:val="4"/>
              <w:rPr>
                <w:rFonts w:hint="eastAsia"/>
              </w:rPr>
            </w:pPr>
          </w:p>
          <w:p>
            <w:pPr>
              <w:pStyle w:val="5"/>
            </w:pPr>
          </w:p>
        </w:tc>
      </w:tr>
    </w:tbl>
    <w:p>
      <w:pPr>
        <w:pStyle w:val="36"/>
        <w:topLinePunct/>
        <w:rPr>
          <w:color w:val="auto"/>
        </w:rPr>
      </w:pPr>
      <w:r>
        <w:rPr>
          <w:color w:val="auto"/>
        </w:rPr>
        <w:t>建设工程所在地自然环境简况</w:t>
      </w:r>
    </w:p>
    <w:tbl>
      <w:tblPr>
        <w:tblStyle w:val="39"/>
        <w:tblW w:w="869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6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pStyle w:val="54"/>
              <w:topLinePunct/>
              <w:rPr>
                <w:color w:val="auto"/>
              </w:rPr>
            </w:pPr>
            <w:r>
              <w:rPr>
                <w:color w:val="auto"/>
              </w:rPr>
              <w:t>自然环境简况（地形、地貌、地质、气候、水文、植被、生物多样性等）：</w:t>
            </w:r>
          </w:p>
          <w:p>
            <w:pPr>
              <w:pStyle w:val="55"/>
              <w:topLinePunct/>
              <w:ind w:firstLine="482"/>
              <w:rPr>
                <w:color w:val="auto"/>
              </w:rPr>
            </w:pPr>
            <w:r>
              <w:rPr>
                <w:rFonts w:hint="eastAsia"/>
                <w:color w:val="auto"/>
              </w:rPr>
              <w:t>1、</w:t>
            </w:r>
            <w:r>
              <w:rPr>
                <w:color w:val="auto"/>
              </w:rPr>
              <w:t>地理位置</w:t>
            </w:r>
          </w:p>
          <w:p>
            <w:pPr>
              <w:ind w:firstLine="480"/>
              <w:rPr>
                <w:color w:val="auto"/>
              </w:rPr>
            </w:pPr>
            <w:r>
              <w:rPr>
                <w:rFonts w:hint="eastAsia"/>
                <w:color w:val="auto"/>
              </w:rPr>
              <w:t>本工程位于连州市</w:t>
            </w:r>
            <w:r>
              <w:rPr>
                <w:rFonts w:hint="eastAsia"/>
                <w:color w:val="auto"/>
                <w:sz w:val="24"/>
                <w:szCs w:val="24"/>
              </w:rPr>
              <w:t>西江镇区</w:t>
            </w:r>
            <w:r>
              <w:rPr>
                <w:rFonts w:hint="eastAsia"/>
                <w:color w:val="auto"/>
              </w:rPr>
              <w:t>，其水厂场址中心地理坐标：</w:t>
            </w:r>
            <w:r>
              <w:rPr>
                <w:rFonts w:hint="eastAsia"/>
                <w:color w:val="auto"/>
                <w:lang w:eastAsia="zh-CN"/>
              </w:rPr>
              <w:t>112°35'22.27"东、24°45'31.50"北</w:t>
            </w:r>
            <w:r>
              <w:rPr>
                <w:rFonts w:hint="eastAsia"/>
                <w:color w:val="auto"/>
              </w:rPr>
              <w:t>。地理位置见附图1。</w:t>
            </w:r>
          </w:p>
          <w:p>
            <w:pPr>
              <w:ind w:firstLine="480"/>
              <w:rPr>
                <w:color w:val="auto"/>
              </w:rPr>
            </w:pPr>
            <w:r>
              <w:rPr>
                <w:rFonts w:hint="eastAsia"/>
                <w:color w:val="auto"/>
              </w:rPr>
              <w:t>连州市位于广东省西北部，小北江上游。东南毗邻阳山县，西南连接连南瑶族自治县，西北与湖南省蓝山县、江华瑶族自治县相连，北与湖南省临武县交界，东北靠湖南省宜章县境。地理坐标北纬</w:t>
            </w:r>
            <w:r>
              <w:rPr>
                <w:color w:val="auto"/>
              </w:rPr>
              <w:t>24°</w:t>
            </w:r>
            <w:r>
              <w:rPr>
                <w:rFonts w:hint="eastAsia"/>
                <w:color w:val="auto"/>
              </w:rPr>
              <w:t>37</w:t>
            </w:r>
            <w:r>
              <w:rPr>
                <w:color w:val="auto"/>
              </w:rPr>
              <w:t>'</w:t>
            </w:r>
            <w:r>
              <w:rPr>
                <w:rFonts w:hint="eastAsia"/>
                <w:color w:val="auto"/>
              </w:rPr>
              <w:t>至</w:t>
            </w:r>
            <w:r>
              <w:rPr>
                <w:color w:val="auto"/>
              </w:rPr>
              <w:t>2</w:t>
            </w:r>
            <w:r>
              <w:rPr>
                <w:rFonts w:hint="eastAsia"/>
                <w:color w:val="auto"/>
              </w:rPr>
              <w:t>5</w:t>
            </w:r>
            <w:r>
              <w:rPr>
                <w:color w:val="auto"/>
              </w:rPr>
              <w:t>°</w:t>
            </w:r>
            <w:r>
              <w:rPr>
                <w:rFonts w:hint="eastAsia"/>
                <w:color w:val="auto"/>
              </w:rPr>
              <w:t>12</w:t>
            </w:r>
            <w:r>
              <w:rPr>
                <w:color w:val="auto"/>
              </w:rPr>
              <w:t>'</w:t>
            </w:r>
            <w:r>
              <w:rPr>
                <w:rFonts w:hint="eastAsia"/>
                <w:color w:val="auto"/>
              </w:rPr>
              <w:t>，东经112</w:t>
            </w:r>
            <w:r>
              <w:rPr>
                <w:color w:val="auto"/>
              </w:rPr>
              <w:t>°</w:t>
            </w:r>
            <w:r>
              <w:rPr>
                <w:rFonts w:hint="eastAsia"/>
                <w:color w:val="auto"/>
              </w:rPr>
              <w:t>07</w:t>
            </w:r>
            <w:r>
              <w:rPr>
                <w:color w:val="auto"/>
              </w:rPr>
              <w:t>'</w:t>
            </w:r>
            <w:r>
              <w:rPr>
                <w:rFonts w:hint="eastAsia"/>
                <w:color w:val="auto"/>
              </w:rPr>
              <w:t>至112</w:t>
            </w:r>
            <w:r>
              <w:rPr>
                <w:color w:val="auto"/>
              </w:rPr>
              <w:t>°</w:t>
            </w:r>
            <w:r>
              <w:rPr>
                <w:rFonts w:hint="eastAsia"/>
                <w:color w:val="auto"/>
              </w:rPr>
              <w:t>47</w:t>
            </w:r>
            <w:r>
              <w:rPr>
                <w:color w:val="auto"/>
              </w:rPr>
              <w:t>'</w:t>
            </w:r>
            <w:r>
              <w:rPr>
                <w:rFonts w:hint="eastAsia"/>
                <w:color w:val="auto"/>
              </w:rPr>
              <w:t>。市境东西广68公里，南北袤65公里，边界线总长610公里，全市总面积2664平方公里，占广东省面积的1.26%。</w:t>
            </w:r>
          </w:p>
          <w:p>
            <w:pPr>
              <w:pStyle w:val="55"/>
              <w:topLinePunct/>
              <w:ind w:firstLine="482"/>
              <w:rPr>
                <w:color w:val="auto"/>
              </w:rPr>
            </w:pPr>
            <w:r>
              <w:rPr>
                <w:color w:val="auto"/>
              </w:rPr>
              <w:t>2、地质与地貌</w:t>
            </w:r>
          </w:p>
          <w:p>
            <w:pPr>
              <w:ind w:firstLine="480"/>
              <w:rPr>
                <w:color w:val="auto"/>
              </w:rPr>
            </w:pPr>
            <w:r>
              <w:rPr>
                <w:color w:val="auto"/>
              </w:rPr>
              <w:t>连州市地处五岭中之萌渚岭南麓，境内崇山峻岭，丘陵岗峦星罗棋布。主要山脉有绵延丰阳、瑶安一带的簸箕山脉，主峰天堂岭，海拔1712米，为县内最高峰，位于瑶安与湖南省蓝山县交界处；横跨东部潭岭、朝天、西江一带的大东山脉，主峰岩坑山，海拔1604米，为本市次高峰，位于朝天与阳山交界处；其余山岭多在1000米以下。山地占全市总面积的72.2%，丘陵占15.9%。本市地形，因东面有大东山脉，由东北向西南；西部有大龙山脉，由西北向西南；北部有簸箕山脉，形成西、北、东三面山地，中部稍低，均为丘陵地带。星子、大路边、朝天、麻步等乡镇大部分地区为小盆地；清水、丰阳南部、东陂北部为丘陵盆地；西岸、东陂两乡镇河流两岸为河谷盆地；保安、附城及九陂等乡镇部分地区为连州丘陵盆地。</w:t>
            </w:r>
          </w:p>
          <w:p>
            <w:pPr>
              <w:pStyle w:val="55"/>
              <w:topLinePunct/>
              <w:ind w:firstLine="482"/>
              <w:rPr>
                <w:color w:val="auto"/>
              </w:rPr>
            </w:pPr>
            <w:r>
              <w:rPr>
                <w:color w:val="auto"/>
              </w:rPr>
              <w:t>3、水文</w:t>
            </w:r>
          </w:p>
          <w:p>
            <w:pPr>
              <w:ind w:firstLine="480"/>
              <w:rPr>
                <w:color w:val="auto"/>
              </w:rPr>
            </w:pPr>
            <w:r>
              <w:rPr>
                <w:color w:val="auto"/>
              </w:rPr>
              <w:t>连州境内河流属北江水系，</w:t>
            </w:r>
            <w:r>
              <w:rPr>
                <w:rFonts w:hint="eastAsia"/>
                <w:color w:val="auto"/>
              </w:rPr>
              <w:t>河网密布，密度为0.405公里/平方公里。河长1公里以上的有375条，其中集水面积大于100平方公里的有11条，如奉化水、潭源水、黄桥水、朝天桥水、长合水、冲口水等，诸水分别注入干流星子河和东陂河，汇集连江。</w:t>
            </w:r>
          </w:p>
          <w:p>
            <w:pPr>
              <w:ind w:firstLine="480"/>
              <w:rPr>
                <w:color w:val="auto"/>
              </w:rPr>
            </w:pPr>
            <w:r>
              <w:rPr>
                <w:rFonts w:hint="eastAsia"/>
                <w:color w:val="auto"/>
              </w:rPr>
              <w:t>连江古称湟水、洭水，近代亦有小北江之称，为北江最大支流位于北江右岸，发源于广东省连州市（连县），干流长275公里，集水面积1.01万平方公里，流经连州市（连县）、阳山县、英德市3地，至英德县江头咀注入北江。</w:t>
            </w:r>
          </w:p>
          <w:p>
            <w:pPr>
              <w:pStyle w:val="82"/>
              <w:rPr>
                <w:rFonts w:ascii="Times New Roman" w:hAnsi="Times New Roman"/>
                <w:color w:val="auto"/>
              </w:rPr>
            </w:pPr>
            <w:r>
              <w:rPr>
                <w:rFonts w:hint="eastAsia" w:ascii="Times New Roman" w:hAnsi="Times New Roman"/>
                <w:color w:val="auto"/>
              </w:rPr>
              <w:t>西江水发源于西江镇区背面的的雷公山，海拔</w:t>
            </w:r>
            <w:r>
              <w:rPr>
                <w:rFonts w:ascii="Times New Roman" w:hAnsi="Times New Roman"/>
                <w:color w:val="auto"/>
              </w:rPr>
              <w:t>753.5m，从源头由南向北流，在国道323线下游约300m处接纳支流水后，90°角拐向东流，流经西江镇西江村委的企江、潭边、新村等3个自然村后，在新村处90°角拐向北流，再流经五贵庙、迳下，最后在迳下汇入步津水，沿途接纳了岩头水、黄屋水等支流，流域面积11.5km</w:t>
            </w:r>
            <w:r>
              <w:rPr>
                <w:rFonts w:ascii="Times New Roman" w:hAnsi="Times New Roman"/>
                <w:color w:val="auto"/>
                <w:vertAlign w:val="superscript"/>
              </w:rPr>
              <w:t>2</w:t>
            </w:r>
            <w:r>
              <w:rPr>
                <w:rFonts w:ascii="Times New Roman" w:hAnsi="Times New Roman"/>
                <w:color w:val="auto"/>
              </w:rPr>
              <w:t>，干流河长6.42km，平均河床坡降31.9‰。</w:t>
            </w:r>
          </w:p>
          <w:p>
            <w:pPr>
              <w:keepNext w:val="0"/>
              <w:keepLines w:val="0"/>
              <w:widowControl/>
              <w:suppressLineNumbers w:val="0"/>
              <w:jc w:val="left"/>
              <w:rPr>
                <w:color w:val="auto"/>
              </w:rPr>
            </w:pPr>
            <w:r>
              <w:rPr>
                <w:rFonts w:hint="eastAsia" w:ascii="宋体" w:hAnsi="宋体" w:cs="宋体"/>
                <w:color w:val="auto"/>
                <w:kern w:val="0"/>
                <w:sz w:val="24"/>
                <w:szCs w:val="24"/>
                <w:lang w:val="en-US" w:eastAsia="zh-CN" w:bidi="ar"/>
              </w:rPr>
              <w:t>本项目供水</w:t>
            </w:r>
            <w:r>
              <w:rPr>
                <w:rFonts w:hint="eastAsia" w:ascii="宋体" w:hAnsi="宋体" w:eastAsia="宋体" w:cs="宋体"/>
                <w:color w:val="auto"/>
                <w:kern w:val="0"/>
                <w:sz w:val="24"/>
                <w:szCs w:val="24"/>
                <w:lang w:val="en-US" w:eastAsia="zh-CN" w:bidi="ar"/>
              </w:rPr>
              <w:t>水源为八一水库。位于连州市西江镇南</w:t>
            </w:r>
            <w:r>
              <w:rPr>
                <w:rFonts w:hint="default" w:ascii="Times New Roman" w:hAnsi="Times New Roman" w:eastAsia="宋体" w:cs="Times New Roman"/>
                <w:color w:val="auto"/>
                <w:kern w:val="0"/>
                <w:sz w:val="24"/>
                <w:szCs w:val="24"/>
                <w:lang w:val="en-US" w:eastAsia="zh-CN" w:bidi="ar"/>
              </w:rPr>
              <w:t>2.5km</w:t>
            </w:r>
            <w:r>
              <w:rPr>
                <w:rFonts w:hint="eastAsia" w:ascii="宋体" w:hAnsi="宋体" w:eastAsia="宋体" w:cs="宋体"/>
                <w:color w:val="auto"/>
                <w:kern w:val="0"/>
                <w:sz w:val="24"/>
                <w:szCs w:val="24"/>
                <w:lang w:val="en-US" w:eastAsia="zh-CN" w:bidi="ar"/>
              </w:rPr>
              <w:t>的西江村，处连江之二级支流步津水上游，距连州市市区所在地连州镇约</w:t>
            </w:r>
            <w:r>
              <w:rPr>
                <w:rFonts w:hint="default" w:ascii="Times New Roman" w:hAnsi="Times New Roman" w:eastAsia="宋体" w:cs="Times New Roman"/>
                <w:color w:val="auto"/>
                <w:kern w:val="0"/>
                <w:sz w:val="24"/>
                <w:szCs w:val="24"/>
                <w:lang w:val="en-US" w:eastAsia="zh-CN" w:bidi="ar"/>
              </w:rPr>
              <w:t>20.68km</w:t>
            </w:r>
            <w:r>
              <w:rPr>
                <w:rFonts w:hint="eastAsia" w:ascii="宋体" w:hAnsi="宋体" w:eastAsia="宋体" w:cs="宋体"/>
                <w:color w:val="auto"/>
                <w:kern w:val="0"/>
                <w:sz w:val="24"/>
                <w:szCs w:val="24"/>
                <w:lang w:val="en-US" w:eastAsia="zh-CN" w:bidi="ar"/>
              </w:rPr>
              <w:t>，有公路可通，交通比较便利。水库于</w:t>
            </w:r>
            <w:r>
              <w:rPr>
                <w:rFonts w:hint="default" w:ascii="Times New Roman" w:hAnsi="Times New Roman" w:eastAsia="宋体" w:cs="Times New Roman"/>
                <w:color w:val="auto"/>
                <w:kern w:val="0"/>
                <w:sz w:val="24"/>
                <w:szCs w:val="24"/>
                <w:lang w:val="en-US" w:eastAsia="zh-CN" w:bidi="ar"/>
              </w:rPr>
              <w:t>1972</w:t>
            </w:r>
            <w:r>
              <w:rPr>
                <w:rFonts w:hint="eastAsia" w:ascii="宋体" w:hAnsi="宋体" w:eastAsia="宋体" w:cs="宋体"/>
                <w:color w:val="auto"/>
                <w:kern w:val="0"/>
                <w:sz w:val="24"/>
                <w:szCs w:val="24"/>
                <w:lang w:val="en-US" w:eastAsia="zh-CN" w:bidi="ar"/>
              </w:rPr>
              <w:t>年经上级批准动工兴建，</w:t>
            </w:r>
            <w:r>
              <w:rPr>
                <w:rFonts w:hint="default" w:ascii="Times New Roman" w:hAnsi="Times New Roman" w:eastAsia="宋体" w:cs="Times New Roman"/>
                <w:color w:val="auto"/>
                <w:kern w:val="0"/>
                <w:sz w:val="24"/>
                <w:szCs w:val="24"/>
                <w:lang w:val="en-US" w:eastAsia="zh-CN" w:bidi="ar"/>
              </w:rPr>
              <w:t>1974</w:t>
            </w:r>
            <w:r>
              <w:rPr>
                <w:rFonts w:hint="eastAsia" w:ascii="宋体" w:hAnsi="宋体" w:eastAsia="宋体" w:cs="宋体"/>
                <w:color w:val="auto"/>
                <w:kern w:val="0"/>
                <w:sz w:val="24"/>
                <w:szCs w:val="24"/>
                <w:lang w:val="en-US" w:eastAsia="zh-CN" w:bidi="ar"/>
              </w:rPr>
              <w:t>年竣工，</w:t>
            </w:r>
            <w:r>
              <w:rPr>
                <w:rFonts w:hint="default" w:ascii="Times New Roman" w:hAnsi="Times New Roman" w:eastAsia="宋体" w:cs="Times New Roman"/>
                <w:color w:val="auto"/>
                <w:kern w:val="0"/>
                <w:sz w:val="24"/>
                <w:szCs w:val="24"/>
                <w:lang w:val="en-US" w:eastAsia="zh-CN" w:bidi="ar"/>
              </w:rPr>
              <w:t>2005</w:t>
            </w:r>
            <w:r>
              <w:rPr>
                <w:rFonts w:hint="eastAsia" w:ascii="宋体" w:hAnsi="宋体" w:eastAsia="宋体" w:cs="宋体"/>
                <w:color w:val="auto"/>
                <w:kern w:val="0"/>
                <w:sz w:val="24"/>
                <w:szCs w:val="24"/>
                <w:lang w:val="en-US" w:eastAsia="zh-CN" w:bidi="ar"/>
              </w:rPr>
              <w:t>年进行除险加固</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是一宗以灌溉为主，兼顾防洪、饮水等综合效益的小（</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）型水库。水库集雨面积为</w:t>
            </w:r>
            <w:r>
              <w:rPr>
                <w:rFonts w:hint="default" w:ascii="Times New Roman" w:hAnsi="Times New Roman" w:eastAsia="宋体" w:cs="Times New Roman"/>
                <w:color w:val="auto"/>
                <w:kern w:val="0"/>
                <w:sz w:val="24"/>
                <w:szCs w:val="24"/>
                <w:lang w:val="en-US" w:eastAsia="zh-CN" w:bidi="ar"/>
              </w:rPr>
              <w:t>1.2km</w:t>
            </w:r>
            <w:r>
              <w:rPr>
                <w:rFonts w:hint="eastAsia" w:ascii="宋体" w:hAnsi="宋体" w:eastAsia="宋体" w:cs="宋体"/>
                <w:color w:val="auto"/>
                <w:kern w:val="0"/>
                <w:sz w:val="24"/>
                <w:szCs w:val="24"/>
                <w:lang w:val="en-US" w:eastAsia="zh-CN" w:bidi="ar"/>
              </w:rPr>
              <w:t>²。水库最大坝高为</w:t>
            </w:r>
            <w:r>
              <w:rPr>
                <w:rFonts w:hint="default" w:ascii="Times New Roman" w:hAnsi="Times New Roman" w:eastAsia="宋体" w:cs="Times New Roman"/>
                <w:color w:val="auto"/>
                <w:kern w:val="0"/>
                <w:sz w:val="24"/>
                <w:szCs w:val="24"/>
                <w:lang w:val="en-US" w:eastAsia="zh-CN" w:bidi="ar"/>
              </w:rPr>
              <w:t>7.2m</w:t>
            </w:r>
            <w:r>
              <w:rPr>
                <w:rFonts w:hint="eastAsia" w:ascii="宋体" w:hAnsi="宋体" w:eastAsia="宋体" w:cs="宋体"/>
                <w:color w:val="auto"/>
                <w:kern w:val="0"/>
                <w:sz w:val="24"/>
                <w:szCs w:val="24"/>
                <w:lang w:val="en-US" w:eastAsia="zh-CN" w:bidi="ar"/>
              </w:rPr>
              <w:t>，大坝坝顶高程</w:t>
            </w:r>
            <w:r>
              <w:rPr>
                <w:rFonts w:hint="default" w:ascii="Times New Roman" w:hAnsi="Times New Roman" w:eastAsia="宋体" w:cs="Times New Roman"/>
                <w:color w:val="auto"/>
                <w:kern w:val="0"/>
                <w:sz w:val="24"/>
                <w:szCs w:val="24"/>
                <w:lang w:val="en-US" w:eastAsia="zh-CN" w:bidi="ar"/>
              </w:rPr>
              <w:t>566.0m</w:t>
            </w:r>
            <w:r>
              <w:rPr>
                <w:rFonts w:hint="eastAsia" w:ascii="宋体" w:hAnsi="宋体" w:eastAsia="宋体" w:cs="宋体"/>
                <w:color w:val="auto"/>
                <w:kern w:val="0"/>
                <w:sz w:val="24"/>
                <w:szCs w:val="24"/>
                <w:lang w:val="en-US" w:eastAsia="zh-CN" w:bidi="ar"/>
              </w:rPr>
              <w:t>，校核水位为</w:t>
            </w:r>
            <w:r>
              <w:rPr>
                <w:rFonts w:hint="default" w:ascii="Times New Roman" w:hAnsi="Times New Roman" w:eastAsia="宋体" w:cs="Times New Roman"/>
                <w:color w:val="auto"/>
                <w:kern w:val="0"/>
                <w:sz w:val="24"/>
                <w:szCs w:val="24"/>
                <w:lang w:val="en-US" w:eastAsia="zh-CN" w:bidi="ar"/>
              </w:rPr>
              <w:t>565.10m</w:t>
            </w:r>
            <w:r>
              <w:rPr>
                <w:rFonts w:hint="eastAsia" w:ascii="宋体" w:hAnsi="宋体" w:eastAsia="宋体" w:cs="宋体"/>
                <w:color w:val="auto"/>
                <w:kern w:val="0"/>
                <w:sz w:val="24"/>
                <w:szCs w:val="24"/>
                <w:lang w:val="en-US" w:eastAsia="zh-CN" w:bidi="ar"/>
              </w:rPr>
              <w:t>，设计水位</w:t>
            </w:r>
            <w:r>
              <w:rPr>
                <w:rFonts w:hint="default" w:ascii="Times New Roman" w:hAnsi="Times New Roman" w:eastAsia="宋体" w:cs="Times New Roman"/>
                <w:color w:val="auto"/>
                <w:kern w:val="0"/>
                <w:sz w:val="24"/>
                <w:szCs w:val="24"/>
                <w:lang w:val="en-US" w:eastAsia="zh-CN" w:bidi="ar"/>
              </w:rPr>
              <w:t>564.7m</w:t>
            </w:r>
            <w:r>
              <w:rPr>
                <w:rFonts w:hint="eastAsia" w:ascii="宋体" w:hAnsi="宋体" w:eastAsia="宋体" w:cs="宋体"/>
                <w:color w:val="auto"/>
                <w:kern w:val="0"/>
                <w:sz w:val="24"/>
                <w:szCs w:val="24"/>
                <w:lang w:val="en-US" w:eastAsia="zh-CN" w:bidi="ar"/>
              </w:rPr>
              <w:t>，正常水位</w:t>
            </w:r>
            <w:r>
              <w:rPr>
                <w:rFonts w:hint="default" w:ascii="Times New Roman" w:hAnsi="Times New Roman" w:eastAsia="宋体" w:cs="Times New Roman"/>
                <w:color w:val="auto"/>
                <w:kern w:val="0"/>
                <w:sz w:val="24"/>
                <w:szCs w:val="24"/>
                <w:lang w:val="en-US" w:eastAsia="zh-CN" w:bidi="ar"/>
              </w:rPr>
              <w:t>563.00m</w:t>
            </w:r>
            <w:r>
              <w:rPr>
                <w:rFonts w:hint="eastAsia" w:ascii="宋体" w:hAnsi="宋体" w:eastAsia="宋体" w:cs="宋体"/>
                <w:color w:val="auto"/>
                <w:kern w:val="0"/>
                <w:sz w:val="24"/>
                <w:szCs w:val="24"/>
                <w:lang w:val="en-US" w:eastAsia="zh-CN" w:bidi="ar"/>
              </w:rPr>
              <w:t>。由此查库容曲线，可得水库总库容为</w:t>
            </w:r>
            <w:r>
              <w:rPr>
                <w:rFonts w:hint="default" w:ascii="Times New Roman" w:hAnsi="Times New Roman" w:eastAsia="宋体" w:cs="Times New Roman"/>
                <w:color w:val="auto"/>
                <w:kern w:val="0"/>
                <w:sz w:val="24"/>
                <w:szCs w:val="24"/>
                <w:lang w:val="en-US" w:eastAsia="zh-CN" w:bidi="ar"/>
              </w:rPr>
              <w:t>28.0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³，水库设计库容为</w:t>
            </w:r>
            <w:r>
              <w:rPr>
                <w:rFonts w:hint="default" w:ascii="Times New Roman" w:hAnsi="Times New Roman" w:eastAsia="宋体" w:cs="Times New Roman"/>
                <w:color w:val="auto"/>
                <w:kern w:val="0"/>
                <w:sz w:val="24"/>
                <w:szCs w:val="24"/>
                <w:lang w:val="en-US" w:eastAsia="zh-CN" w:bidi="ar"/>
              </w:rPr>
              <w:t>27.0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³，水库正常库容为</w:t>
            </w:r>
            <w:r>
              <w:rPr>
                <w:rFonts w:hint="default" w:ascii="Times New Roman" w:hAnsi="Times New Roman" w:eastAsia="宋体" w:cs="Times New Roman"/>
                <w:color w:val="auto"/>
                <w:kern w:val="0"/>
                <w:sz w:val="24"/>
                <w:szCs w:val="24"/>
                <w:lang w:val="en-US" w:eastAsia="zh-CN" w:bidi="ar"/>
              </w:rPr>
              <w:t>18.0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 xml:space="preserve">³。 </w:t>
            </w:r>
          </w:p>
          <w:p>
            <w:pPr>
              <w:pStyle w:val="55"/>
              <w:topLinePunct/>
              <w:ind w:firstLine="482"/>
              <w:rPr>
                <w:color w:val="auto"/>
              </w:rPr>
            </w:pPr>
            <w:r>
              <w:rPr>
                <w:rFonts w:hint="eastAsia"/>
                <w:color w:val="auto"/>
              </w:rPr>
              <w:t>4、</w:t>
            </w:r>
            <w:r>
              <w:rPr>
                <w:color w:val="auto"/>
              </w:rPr>
              <w:t>气象与气候</w:t>
            </w:r>
          </w:p>
          <w:p>
            <w:pPr>
              <w:ind w:firstLine="480"/>
              <w:rPr>
                <w:color w:val="auto"/>
              </w:rPr>
            </w:pPr>
            <w:r>
              <w:rPr>
                <w:color w:val="auto"/>
              </w:rPr>
              <w:t>连州市属中亚热带季风气候区，一年四季受季风影响。冬半年（10月－次年3月）盛行东北季风；夏半年（4月—9月）盛行夏季风，主要是西南风。在东亚季风环流背景制约下，连州市冬季常吹偏北风，气候干冷；夏季常吹偏南风，由于暖湿气流盛行，气候高温多雨。另外，由于地形（南岭山脉）的影响，具有明显的“春暖迟、秋寒早”的山区气候特征。直接影响连州市气候和天气变化的大、中尺度天气系统：冬春季主要是极地大陆高压及其前沿的冷锋，夏秋季主要是副热带高压和热带气旋（台风）等。</w:t>
            </w:r>
          </w:p>
          <w:p>
            <w:pPr>
              <w:ind w:firstLine="480"/>
              <w:rPr>
                <w:color w:val="auto"/>
              </w:rPr>
            </w:pPr>
            <w:r>
              <w:rPr>
                <w:color w:val="auto"/>
              </w:rPr>
              <w:t>本区属亚热带季风气候区，春夏潮湿多雨，冬季寒冷有短期冰冻。历年最高气温为3</w:t>
            </w:r>
            <w:r>
              <w:rPr>
                <w:rFonts w:hint="eastAsia"/>
                <w:color w:val="auto"/>
              </w:rPr>
              <w:t>7℃</w:t>
            </w:r>
            <w:r>
              <w:rPr>
                <w:color w:val="auto"/>
              </w:rPr>
              <w:t>，最低气温为-</w:t>
            </w:r>
            <w:r>
              <w:rPr>
                <w:rFonts w:hint="eastAsia"/>
                <w:color w:val="auto"/>
              </w:rPr>
              <w:t>2℃</w:t>
            </w:r>
            <w:r>
              <w:rPr>
                <w:color w:val="auto"/>
              </w:rPr>
              <w:t>，年平均气温为19.</w:t>
            </w:r>
            <w:r>
              <w:rPr>
                <w:rFonts w:hint="eastAsia"/>
                <w:color w:val="auto"/>
              </w:rPr>
              <w:t>2℃</w:t>
            </w:r>
            <w:r>
              <w:rPr>
                <w:color w:val="auto"/>
              </w:rPr>
              <w:t>。年平均降雨量</w:t>
            </w:r>
            <w:r>
              <w:rPr>
                <w:rFonts w:hint="eastAsia"/>
                <w:color w:val="auto"/>
              </w:rPr>
              <w:t>1800</w:t>
            </w:r>
            <w:r>
              <w:rPr>
                <w:color w:val="auto"/>
              </w:rPr>
              <w:t>mm，雨季</w:t>
            </w:r>
            <w:r>
              <w:rPr>
                <w:rFonts w:hint="eastAsia"/>
                <w:color w:val="auto"/>
              </w:rPr>
              <w:t>多在春、夏季。</w:t>
            </w:r>
            <w:r>
              <w:rPr>
                <w:color w:val="auto"/>
              </w:rPr>
              <w:t>旱季在10月至次年2月之间。</w:t>
            </w:r>
          </w:p>
          <w:p>
            <w:pPr>
              <w:pStyle w:val="55"/>
              <w:topLinePunct/>
              <w:ind w:firstLine="482"/>
              <w:rPr>
                <w:color w:val="auto"/>
              </w:rPr>
            </w:pPr>
            <w:r>
              <w:rPr>
                <w:rFonts w:hint="eastAsia"/>
                <w:color w:val="auto"/>
              </w:rPr>
              <w:t>5、</w:t>
            </w:r>
            <w:r>
              <w:rPr>
                <w:color w:val="auto"/>
              </w:rPr>
              <w:t>土壤</w:t>
            </w:r>
          </w:p>
          <w:p>
            <w:pPr>
              <w:ind w:firstLine="480"/>
              <w:rPr>
                <w:color w:val="auto"/>
              </w:rPr>
            </w:pPr>
            <w:r>
              <w:rPr>
                <w:color w:val="auto"/>
              </w:rPr>
              <w:t>连州市有蕨类植物48科383种；有裸子植物20科61种；被子植物共计3956种，其中药用植物1500多种，材用植物1000多种；牧草植物1200余种；花卉、观赏植物500多种；芳香、油料植物400余种；纤维植物300余种；野果、淀粉植物200余种等。属于国家保护的珍稀濒危植物有一级保护的桫椤、南方红豆杉、伯乐树、报春苣苔等6种；属于二级保护的有福建柏、长柄双花木、伞花木、白豆杉、观光木、银杏、香果树、广东松、半枫荷、红椿、华南栲、喜树等30多种。</w:t>
            </w:r>
          </w:p>
          <w:p>
            <w:pPr>
              <w:ind w:firstLine="480"/>
              <w:rPr>
                <w:color w:val="auto"/>
              </w:rPr>
            </w:pPr>
            <w:r>
              <w:rPr>
                <w:color w:val="auto"/>
              </w:rPr>
              <w:t>经现场踏勘，工程所在地无珍稀濒危动植物保护区。</w:t>
            </w:r>
          </w:p>
          <w:p>
            <w:pPr>
              <w:topLinePunct/>
              <w:ind w:firstLine="480"/>
              <w:rPr>
                <w:color w:val="auto"/>
              </w:rPr>
            </w:pPr>
            <w:r>
              <w:rPr>
                <w:rFonts w:hint="eastAsia"/>
                <w:color w:val="auto"/>
              </w:rPr>
              <w:t>本工程</w:t>
            </w:r>
            <w:r>
              <w:rPr>
                <w:color w:val="auto"/>
              </w:rPr>
              <w:t>所在区域功能区分类及标准见</w:t>
            </w:r>
            <w:r>
              <w:rPr>
                <w:rFonts w:hint="eastAsia"/>
                <w:color w:val="auto"/>
              </w:rPr>
              <w:t>下</w:t>
            </w:r>
            <w:r>
              <w:rPr>
                <w:color w:val="auto"/>
              </w:rPr>
              <w:t>表。</w:t>
            </w:r>
          </w:p>
          <w:p>
            <w:pPr>
              <w:pStyle w:val="56"/>
              <w:topLinePunct/>
              <w:rPr>
                <w:color w:val="auto"/>
              </w:rPr>
            </w:pPr>
            <w:r>
              <w:rPr>
                <w:color w:val="auto"/>
              </w:rPr>
              <w:t>表</w:t>
            </w:r>
            <w:r>
              <w:rPr>
                <w:rFonts w:hint="eastAsia"/>
                <w:color w:val="auto"/>
              </w:rPr>
              <w:t xml:space="preserve">6  </w:t>
            </w:r>
            <w:r>
              <w:rPr>
                <w:color w:val="auto"/>
              </w:rPr>
              <w:t>建设工程所在区域功能区分类及标准一览表</w:t>
            </w:r>
          </w:p>
          <w:tbl>
            <w:tblPr>
              <w:tblStyle w:val="39"/>
              <w:tblW w:w="8494"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15"/>
              <w:gridCol w:w="2532"/>
              <w:gridCol w:w="5247"/>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序号</w:t>
                  </w:r>
                </w:p>
              </w:tc>
              <w:tc>
                <w:tcPr>
                  <w:tcW w:w="2532" w:type="dxa"/>
                  <w:vAlign w:val="center"/>
                </w:tcPr>
                <w:p>
                  <w:pPr>
                    <w:pStyle w:val="57"/>
                    <w:rPr>
                      <w:color w:val="auto"/>
                    </w:rPr>
                  </w:pPr>
                  <w:r>
                    <w:rPr>
                      <w:color w:val="auto"/>
                    </w:rPr>
                    <w:t>功能区类别</w:t>
                  </w:r>
                </w:p>
              </w:tc>
              <w:tc>
                <w:tcPr>
                  <w:tcW w:w="5247" w:type="dxa"/>
                  <w:vAlign w:val="center"/>
                </w:tcPr>
                <w:p>
                  <w:pPr>
                    <w:pStyle w:val="57"/>
                    <w:rPr>
                      <w:color w:val="auto"/>
                    </w:rPr>
                  </w:pPr>
                  <w:r>
                    <w:rPr>
                      <w:color w:val="auto"/>
                    </w:rPr>
                    <w:t>功能区分类及执行标准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1</w:t>
                  </w:r>
                </w:p>
              </w:tc>
              <w:tc>
                <w:tcPr>
                  <w:tcW w:w="2532" w:type="dxa"/>
                  <w:vAlign w:val="center"/>
                </w:tcPr>
                <w:p>
                  <w:pPr>
                    <w:pStyle w:val="57"/>
                    <w:rPr>
                      <w:color w:val="auto"/>
                    </w:rPr>
                  </w:pPr>
                  <w:r>
                    <w:rPr>
                      <w:color w:val="auto"/>
                    </w:rPr>
                    <w:t>水环境功能区</w:t>
                  </w:r>
                </w:p>
              </w:tc>
              <w:tc>
                <w:tcPr>
                  <w:tcW w:w="5247" w:type="dxa"/>
                  <w:vAlign w:val="center"/>
                </w:tcPr>
                <w:p>
                  <w:pPr>
                    <w:pStyle w:val="57"/>
                    <w:rPr>
                      <w:color w:val="auto"/>
                    </w:rPr>
                  </w:pPr>
                  <w:r>
                    <w:rPr>
                      <w:rFonts w:hint="eastAsia"/>
                      <w:color w:val="auto"/>
                    </w:rPr>
                    <w:t>西江水（黄桥水的一级支流），参考执行《地表水环境质量标准》(GB3838－2002) Ⅱ类标准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2</w:t>
                  </w:r>
                </w:p>
              </w:tc>
              <w:tc>
                <w:tcPr>
                  <w:tcW w:w="2532" w:type="dxa"/>
                  <w:vAlign w:val="center"/>
                </w:tcPr>
                <w:p>
                  <w:pPr>
                    <w:pStyle w:val="57"/>
                    <w:rPr>
                      <w:color w:val="auto"/>
                    </w:rPr>
                  </w:pPr>
                  <w:r>
                    <w:rPr>
                      <w:color w:val="auto"/>
                    </w:rPr>
                    <w:t>环境空气质量功能区</w:t>
                  </w:r>
                </w:p>
              </w:tc>
              <w:tc>
                <w:tcPr>
                  <w:tcW w:w="5247" w:type="dxa"/>
                  <w:vAlign w:val="center"/>
                </w:tcPr>
                <w:p>
                  <w:pPr>
                    <w:pStyle w:val="57"/>
                    <w:rPr>
                      <w:color w:val="auto"/>
                    </w:rPr>
                  </w:pPr>
                  <w:r>
                    <w:rPr>
                      <w:color w:val="auto"/>
                    </w:rPr>
                    <w:t>二类区，执行《环境空气质量标准》（GB</w:t>
                  </w:r>
                  <w:r>
                    <w:rPr>
                      <w:rFonts w:hint="eastAsia"/>
                      <w:color w:val="auto"/>
                    </w:rPr>
                    <w:t xml:space="preserve"> </w:t>
                  </w:r>
                  <w:r>
                    <w:rPr>
                      <w:color w:val="auto"/>
                    </w:rPr>
                    <w:t>3095-2012）及其2018年修改单二级标准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3</w:t>
                  </w:r>
                </w:p>
              </w:tc>
              <w:tc>
                <w:tcPr>
                  <w:tcW w:w="2532" w:type="dxa"/>
                  <w:vAlign w:val="center"/>
                </w:tcPr>
                <w:p>
                  <w:pPr>
                    <w:pStyle w:val="57"/>
                    <w:rPr>
                      <w:color w:val="auto"/>
                    </w:rPr>
                  </w:pPr>
                  <w:r>
                    <w:rPr>
                      <w:color w:val="auto"/>
                    </w:rPr>
                    <w:t>声环境功能区</w:t>
                  </w:r>
                </w:p>
              </w:tc>
              <w:tc>
                <w:tcPr>
                  <w:tcW w:w="5247" w:type="dxa"/>
                  <w:vAlign w:val="center"/>
                </w:tcPr>
                <w:p>
                  <w:pPr>
                    <w:pStyle w:val="57"/>
                    <w:rPr>
                      <w:color w:val="auto"/>
                    </w:rPr>
                  </w:pPr>
                  <w:r>
                    <w:rPr>
                      <w:rFonts w:hint="eastAsia"/>
                      <w:color w:val="auto"/>
                    </w:rPr>
                    <w:t>2类区，执行《声环境质量标准》（GB3096-2008）中的2类标准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4</w:t>
                  </w:r>
                </w:p>
              </w:tc>
              <w:tc>
                <w:tcPr>
                  <w:tcW w:w="2532" w:type="dxa"/>
                  <w:vAlign w:val="center"/>
                </w:tcPr>
                <w:p>
                  <w:pPr>
                    <w:pStyle w:val="57"/>
                    <w:rPr>
                      <w:color w:val="auto"/>
                    </w:rPr>
                  </w:pPr>
                  <w:r>
                    <w:rPr>
                      <w:color w:val="auto"/>
                    </w:rPr>
                    <w:t>是否基本农田保护区</w:t>
                  </w:r>
                </w:p>
              </w:tc>
              <w:tc>
                <w:tcPr>
                  <w:tcW w:w="5247" w:type="dxa"/>
                  <w:vAlign w:val="center"/>
                </w:tcPr>
                <w:p>
                  <w:pPr>
                    <w:pStyle w:val="57"/>
                    <w:rPr>
                      <w:color w:val="auto"/>
                    </w:rPr>
                  </w:pPr>
                  <w:r>
                    <w:rPr>
                      <w:color w:val="auto"/>
                    </w:rPr>
                    <w:t>否</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5</w:t>
                  </w:r>
                </w:p>
              </w:tc>
              <w:tc>
                <w:tcPr>
                  <w:tcW w:w="2532" w:type="dxa"/>
                  <w:vAlign w:val="center"/>
                </w:tcPr>
                <w:p>
                  <w:pPr>
                    <w:pStyle w:val="57"/>
                    <w:rPr>
                      <w:color w:val="auto"/>
                    </w:rPr>
                  </w:pPr>
                  <w:r>
                    <w:rPr>
                      <w:color w:val="auto"/>
                    </w:rPr>
                    <w:t>是否风景保护区</w:t>
                  </w:r>
                </w:p>
              </w:tc>
              <w:tc>
                <w:tcPr>
                  <w:tcW w:w="5247" w:type="dxa"/>
                  <w:vAlign w:val="center"/>
                </w:tcPr>
                <w:p>
                  <w:pPr>
                    <w:pStyle w:val="57"/>
                    <w:rPr>
                      <w:color w:val="auto"/>
                    </w:rPr>
                  </w:pPr>
                  <w:r>
                    <w:rPr>
                      <w:color w:val="auto"/>
                    </w:rPr>
                    <w:t>否</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6</w:t>
                  </w:r>
                </w:p>
              </w:tc>
              <w:tc>
                <w:tcPr>
                  <w:tcW w:w="2532" w:type="dxa"/>
                  <w:vAlign w:val="center"/>
                </w:tcPr>
                <w:p>
                  <w:pPr>
                    <w:pStyle w:val="57"/>
                    <w:rPr>
                      <w:color w:val="auto"/>
                    </w:rPr>
                  </w:pPr>
                  <w:r>
                    <w:rPr>
                      <w:color w:val="auto"/>
                    </w:rPr>
                    <w:t>是否水库库区</w:t>
                  </w:r>
                </w:p>
              </w:tc>
              <w:tc>
                <w:tcPr>
                  <w:tcW w:w="5247" w:type="dxa"/>
                  <w:vAlign w:val="center"/>
                </w:tcPr>
                <w:p>
                  <w:pPr>
                    <w:pStyle w:val="57"/>
                    <w:rPr>
                      <w:color w:val="auto"/>
                    </w:rPr>
                  </w:pPr>
                  <w:r>
                    <w:rPr>
                      <w:color w:val="auto"/>
                    </w:rPr>
                    <w:t>否</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7</w:t>
                  </w:r>
                </w:p>
              </w:tc>
              <w:tc>
                <w:tcPr>
                  <w:tcW w:w="2532" w:type="dxa"/>
                  <w:vAlign w:val="center"/>
                </w:tcPr>
                <w:p>
                  <w:pPr>
                    <w:pStyle w:val="57"/>
                    <w:rPr>
                      <w:color w:val="auto"/>
                    </w:rPr>
                  </w:pPr>
                  <w:r>
                    <w:rPr>
                      <w:color w:val="auto"/>
                    </w:rPr>
                    <w:t>是否</w:t>
                  </w:r>
                  <w:r>
                    <w:rPr>
                      <w:rFonts w:hint="eastAsia"/>
                      <w:color w:val="auto"/>
                    </w:rPr>
                    <w:t>城市</w:t>
                  </w:r>
                  <w:r>
                    <w:rPr>
                      <w:color w:val="auto"/>
                    </w:rPr>
                    <w:t>污水集水范围</w:t>
                  </w:r>
                </w:p>
              </w:tc>
              <w:tc>
                <w:tcPr>
                  <w:tcW w:w="5247" w:type="dxa"/>
                  <w:vAlign w:val="center"/>
                </w:tcPr>
                <w:p>
                  <w:pPr>
                    <w:pStyle w:val="57"/>
                    <w:rPr>
                      <w:color w:val="auto"/>
                    </w:rPr>
                  </w:pPr>
                  <w:r>
                    <w:rPr>
                      <w:color w:val="auto"/>
                    </w:rPr>
                    <w:t>否</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jc w:val="center"/>
              </w:trPr>
              <w:tc>
                <w:tcPr>
                  <w:tcW w:w="715" w:type="dxa"/>
                  <w:vAlign w:val="center"/>
                </w:tcPr>
                <w:p>
                  <w:pPr>
                    <w:pStyle w:val="57"/>
                    <w:rPr>
                      <w:color w:val="auto"/>
                    </w:rPr>
                  </w:pPr>
                  <w:r>
                    <w:rPr>
                      <w:color w:val="auto"/>
                    </w:rPr>
                    <w:t>8</w:t>
                  </w:r>
                </w:p>
              </w:tc>
              <w:tc>
                <w:tcPr>
                  <w:tcW w:w="2532" w:type="dxa"/>
                  <w:vAlign w:val="center"/>
                </w:tcPr>
                <w:p>
                  <w:pPr>
                    <w:pStyle w:val="57"/>
                    <w:rPr>
                      <w:color w:val="auto"/>
                    </w:rPr>
                  </w:pPr>
                  <w:r>
                    <w:rPr>
                      <w:color w:val="auto"/>
                    </w:rPr>
                    <w:t>是否管道煤气干管区</w:t>
                  </w:r>
                </w:p>
              </w:tc>
              <w:tc>
                <w:tcPr>
                  <w:tcW w:w="5247" w:type="dxa"/>
                  <w:vAlign w:val="center"/>
                </w:tcPr>
                <w:p>
                  <w:pPr>
                    <w:pStyle w:val="57"/>
                    <w:rPr>
                      <w:color w:val="auto"/>
                    </w:rPr>
                  </w:pPr>
                  <w:r>
                    <w:rPr>
                      <w:color w:val="auto"/>
                    </w:rPr>
                    <w:t>否</w:t>
                  </w:r>
                </w:p>
              </w:tc>
            </w:tr>
          </w:tbl>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tc>
      </w:tr>
    </w:tbl>
    <w:p>
      <w:pPr>
        <w:pStyle w:val="57"/>
        <w:rPr>
          <w:color w:val="auto"/>
          <w:sz w:val="28"/>
          <w:szCs w:val="32"/>
        </w:rPr>
      </w:pPr>
      <w:r>
        <w:rPr>
          <w:color w:val="auto"/>
        </w:rPr>
        <w:br w:type="page"/>
      </w:r>
    </w:p>
    <w:p>
      <w:pPr>
        <w:pStyle w:val="36"/>
        <w:topLinePunct/>
        <w:rPr>
          <w:color w:val="auto"/>
        </w:rPr>
      </w:pPr>
      <w:r>
        <w:rPr>
          <w:color w:val="auto"/>
        </w:rPr>
        <w:t>环境质量状况</w:t>
      </w:r>
    </w:p>
    <w:tbl>
      <w:tblPr>
        <w:tblStyle w:val="39"/>
        <w:tblW w:w="872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7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725" w:type="dxa"/>
          </w:tcPr>
          <w:p>
            <w:pPr>
              <w:pStyle w:val="54"/>
              <w:topLinePunct/>
              <w:rPr>
                <w:color w:val="auto"/>
              </w:rPr>
            </w:pPr>
            <w:r>
              <w:rPr>
                <w:color w:val="auto"/>
              </w:rPr>
              <w:t>建设工程所在地区域环境质量现状及主要环境问题（环境空气、地面水、地下水、声环境、生态环境等）</w:t>
            </w:r>
          </w:p>
          <w:p>
            <w:pPr>
              <w:pStyle w:val="55"/>
              <w:topLinePunct/>
              <w:ind w:firstLine="482"/>
              <w:rPr>
                <w:color w:val="auto"/>
              </w:rPr>
            </w:pPr>
            <w:r>
              <w:rPr>
                <w:rFonts w:hint="eastAsia"/>
                <w:color w:val="auto"/>
              </w:rPr>
              <w:t>1、</w:t>
            </w:r>
            <w:r>
              <w:rPr>
                <w:color w:val="auto"/>
              </w:rPr>
              <w:t>大气环境质量现状</w:t>
            </w:r>
          </w:p>
          <w:p>
            <w:pPr>
              <w:topLinePunct/>
              <w:ind w:firstLine="480"/>
              <w:rPr>
                <w:color w:val="auto"/>
              </w:rPr>
            </w:pPr>
            <w:r>
              <w:rPr>
                <w:color w:val="auto"/>
              </w:rPr>
              <w:t>根据《</w:t>
            </w:r>
            <w:r>
              <w:rPr>
                <w:rFonts w:hint="eastAsia"/>
                <w:color w:val="auto"/>
              </w:rPr>
              <w:t>连州市环境保护规划</w:t>
            </w:r>
            <w:r>
              <w:rPr>
                <w:color w:val="auto"/>
              </w:rPr>
              <w:t>》</w:t>
            </w:r>
            <w:r>
              <w:rPr>
                <w:rFonts w:hint="eastAsia"/>
                <w:color w:val="auto"/>
              </w:rPr>
              <w:t>（2014-2025年）</w:t>
            </w:r>
            <w:r>
              <w:rPr>
                <w:color w:val="auto"/>
              </w:rPr>
              <w:t>，工程所在地属于环境空气质量二类功能区，环境空气质量执行《环境空气质量标准》（GB</w:t>
            </w:r>
            <w:r>
              <w:rPr>
                <w:rFonts w:hint="eastAsia"/>
                <w:color w:val="auto"/>
              </w:rPr>
              <w:t xml:space="preserve"> </w:t>
            </w:r>
            <w:r>
              <w:rPr>
                <w:color w:val="auto"/>
              </w:rPr>
              <w:t>3095-2012）及其2018年修改单二级标准。</w:t>
            </w:r>
          </w:p>
          <w:p>
            <w:pPr>
              <w:topLinePunct/>
              <w:ind w:firstLine="480"/>
              <w:rPr>
                <w:color w:val="auto"/>
              </w:rPr>
            </w:pPr>
            <w:r>
              <w:rPr>
                <w:color w:val="auto"/>
              </w:rPr>
              <w:t>根据《环境影响评价技术导则大气环境》（HJ</w:t>
            </w:r>
            <w:r>
              <w:rPr>
                <w:rFonts w:hint="eastAsia"/>
                <w:color w:val="auto"/>
              </w:rPr>
              <w:t xml:space="preserve"> </w:t>
            </w:r>
            <w:r>
              <w:rPr>
                <w:color w:val="auto"/>
              </w:rPr>
              <w:t>2.2-2018），环境空气质量现状调查与评价数据来源于“工程所在区域达标判定，优先采用国家或地方生态环境主管部门公开发布的评价基准年环境质量公告或环境质量报告中的数据或结论。”</w:t>
            </w:r>
          </w:p>
          <w:p>
            <w:pPr>
              <w:ind w:firstLine="480"/>
              <w:rPr>
                <w:color w:val="auto"/>
              </w:rPr>
            </w:pPr>
            <w:r>
              <w:rPr>
                <w:rFonts w:hint="eastAsia"/>
                <w:color w:val="auto"/>
              </w:rPr>
              <w:t>2019年，连州市环境空气监测有效天数为363天，空气质量指数（AQI）平均达标天数为348天，其中优为236天，良为112天，优良率95.9%；轻度污染为13天，占3.6%；中度污染为2天，占0.6%；无中度以上污染，说明工程所在区域环境空气质量良好。</w:t>
            </w:r>
          </w:p>
          <w:p>
            <w:pPr>
              <w:ind w:firstLine="480"/>
              <w:rPr>
                <w:color w:val="auto"/>
              </w:rPr>
            </w:pPr>
            <w:r>
              <w:rPr>
                <w:rFonts w:hint="eastAsia"/>
                <w:color w:val="auto"/>
              </w:rPr>
              <w:t>根据清远市生态环境局发布的《清远市环境质量报告书》（2019年公众版）数据，2019年连州市环境空气污染物基本工程的浓度见下表。</w:t>
            </w:r>
          </w:p>
          <w:p>
            <w:pPr>
              <w:pStyle w:val="56"/>
              <w:rPr>
                <w:color w:val="auto"/>
              </w:rPr>
            </w:pPr>
            <w:r>
              <w:rPr>
                <w:color w:val="auto"/>
              </w:rPr>
              <w:t>表</w:t>
            </w:r>
            <w:r>
              <w:rPr>
                <w:rFonts w:hint="eastAsia"/>
                <w:color w:val="auto"/>
                <w:lang w:val="en-US" w:eastAsia="zh-CN"/>
              </w:rPr>
              <w:t>3-1</w:t>
            </w:r>
            <w:r>
              <w:rPr>
                <w:rFonts w:hint="eastAsia"/>
                <w:color w:val="auto"/>
              </w:rPr>
              <w:t xml:space="preserve">  </w:t>
            </w:r>
            <w:r>
              <w:rPr>
                <w:color w:val="auto"/>
              </w:rPr>
              <w:t>201</w:t>
            </w:r>
            <w:r>
              <w:rPr>
                <w:rFonts w:hint="eastAsia"/>
                <w:color w:val="auto"/>
              </w:rPr>
              <w:t>9</w:t>
            </w:r>
            <w:r>
              <w:rPr>
                <w:color w:val="auto"/>
              </w:rPr>
              <w:t>年</w:t>
            </w:r>
            <w:r>
              <w:rPr>
                <w:rFonts w:hint="eastAsia"/>
                <w:color w:val="auto"/>
              </w:rPr>
              <w:t>连州市</w:t>
            </w:r>
            <w:r>
              <w:rPr>
                <w:color w:val="auto"/>
              </w:rPr>
              <w:t>大气环境现状</w:t>
            </w:r>
          </w:p>
          <w:tbl>
            <w:tblPr>
              <w:tblStyle w:val="39"/>
              <w:tblW w:w="852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9"/>
              <w:gridCol w:w="3330"/>
              <w:gridCol w:w="1138"/>
              <w:gridCol w:w="1138"/>
              <w:gridCol w:w="853"/>
              <w:gridCol w:w="114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污染物</w:t>
                  </w:r>
                </w:p>
              </w:tc>
              <w:tc>
                <w:tcPr>
                  <w:tcW w:w="3330" w:type="dxa"/>
                  <w:vAlign w:val="center"/>
                </w:tcPr>
                <w:p>
                  <w:pPr>
                    <w:pStyle w:val="57"/>
                    <w:rPr>
                      <w:color w:val="auto"/>
                    </w:rPr>
                  </w:pPr>
                  <w:r>
                    <w:rPr>
                      <w:color w:val="auto"/>
                    </w:rPr>
                    <w:t>年评价指标</w:t>
                  </w:r>
                </w:p>
              </w:tc>
              <w:tc>
                <w:tcPr>
                  <w:tcW w:w="1138" w:type="dxa"/>
                  <w:vAlign w:val="center"/>
                </w:tcPr>
                <w:p>
                  <w:pPr>
                    <w:pStyle w:val="57"/>
                    <w:rPr>
                      <w:color w:val="auto"/>
                    </w:rPr>
                  </w:pPr>
                  <w:r>
                    <w:rPr>
                      <w:color w:val="auto"/>
                    </w:rPr>
                    <w:t>现状浓度</w:t>
                  </w:r>
                </w:p>
              </w:tc>
              <w:tc>
                <w:tcPr>
                  <w:tcW w:w="1138" w:type="dxa"/>
                  <w:vAlign w:val="center"/>
                </w:tcPr>
                <w:p>
                  <w:pPr>
                    <w:pStyle w:val="57"/>
                    <w:rPr>
                      <w:color w:val="auto"/>
                    </w:rPr>
                  </w:pPr>
                  <w:r>
                    <w:rPr>
                      <w:color w:val="auto"/>
                    </w:rPr>
                    <w:t>评价标准</w:t>
                  </w:r>
                </w:p>
              </w:tc>
              <w:tc>
                <w:tcPr>
                  <w:tcW w:w="853" w:type="dxa"/>
                  <w:vAlign w:val="center"/>
                </w:tcPr>
                <w:p>
                  <w:pPr>
                    <w:pStyle w:val="57"/>
                    <w:rPr>
                      <w:color w:val="auto"/>
                    </w:rPr>
                  </w:pPr>
                  <w:r>
                    <w:rPr>
                      <w:color w:val="auto"/>
                    </w:rPr>
                    <w:t>占标率</w:t>
                  </w:r>
                </w:p>
              </w:tc>
              <w:tc>
                <w:tcPr>
                  <w:tcW w:w="1144" w:type="dxa"/>
                  <w:vAlign w:val="center"/>
                </w:tcPr>
                <w:p>
                  <w:pPr>
                    <w:pStyle w:val="57"/>
                    <w:rPr>
                      <w:color w:val="auto"/>
                    </w:rPr>
                  </w:pPr>
                  <w:r>
                    <w:rPr>
                      <w:color w:val="auto"/>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SO2</w:t>
                  </w:r>
                </w:p>
              </w:tc>
              <w:tc>
                <w:tcPr>
                  <w:tcW w:w="3330" w:type="dxa"/>
                  <w:vAlign w:val="center"/>
                </w:tcPr>
                <w:p>
                  <w:pPr>
                    <w:pStyle w:val="57"/>
                    <w:rPr>
                      <w:color w:val="auto"/>
                    </w:rPr>
                  </w:pPr>
                  <w:r>
                    <w:rPr>
                      <w:color w:val="auto"/>
                    </w:rPr>
                    <w:t>年均浓度</w:t>
                  </w:r>
                </w:p>
              </w:tc>
              <w:tc>
                <w:tcPr>
                  <w:tcW w:w="1138" w:type="dxa"/>
                  <w:vAlign w:val="center"/>
                </w:tcPr>
                <w:p>
                  <w:pPr>
                    <w:pStyle w:val="57"/>
                    <w:rPr>
                      <w:color w:val="auto"/>
                    </w:rPr>
                  </w:pPr>
                  <w:r>
                    <w:rPr>
                      <w:rFonts w:hint="eastAsia"/>
                      <w:color w:val="auto"/>
                    </w:rPr>
                    <w:t>9</w:t>
                  </w:r>
                  <w:r>
                    <w:rPr>
                      <w:color w:val="auto"/>
                    </w:rPr>
                    <w:t>µg/</w:t>
                  </w:r>
                  <w:r>
                    <w:rPr>
                      <w:rFonts w:hint="eastAsia"/>
                      <w:color w:val="auto"/>
                    </w:rPr>
                    <w:t>m³</w:t>
                  </w:r>
                </w:p>
              </w:tc>
              <w:tc>
                <w:tcPr>
                  <w:tcW w:w="1138" w:type="dxa"/>
                  <w:vAlign w:val="center"/>
                </w:tcPr>
                <w:p>
                  <w:pPr>
                    <w:pStyle w:val="57"/>
                    <w:rPr>
                      <w:color w:val="auto"/>
                    </w:rPr>
                  </w:pPr>
                  <w:r>
                    <w:rPr>
                      <w:color w:val="auto"/>
                    </w:rPr>
                    <w:t>60µg/</w:t>
                  </w:r>
                  <w:r>
                    <w:rPr>
                      <w:rFonts w:hint="eastAsia"/>
                      <w:color w:val="auto"/>
                    </w:rPr>
                    <w:t>m³</w:t>
                  </w:r>
                </w:p>
              </w:tc>
              <w:tc>
                <w:tcPr>
                  <w:tcW w:w="853" w:type="dxa"/>
                  <w:vAlign w:val="center"/>
                </w:tcPr>
                <w:p>
                  <w:pPr>
                    <w:pStyle w:val="57"/>
                    <w:rPr>
                      <w:color w:val="auto"/>
                    </w:rPr>
                  </w:pPr>
                  <w:r>
                    <w:rPr>
                      <w:rFonts w:hint="eastAsia"/>
                      <w:color w:val="auto"/>
                    </w:rPr>
                    <w:t>15</w:t>
                  </w:r>
                  <w:r>
                    <w:rPr>
                      <w:color w:val="auto"/>
                    </w:rPr>
                    <w:t>%</w:t>
                  </w:r>
                </w:p>
              </w:tc>
              <w:tc>
                <w:tcPr>
                  <w:tcW w:w="1144" w:type="dxa"/>
                  <w:vAlign w:val="center"/>
                </w:tcPr>
                <w:p>
                  <w:pPr>
                    <w:pStyle w:val="57"/>
                    <w:rPr>
                      <w:color w:val="auto"/>
                    </w:rPr>
                  </w:pPr>
                  <w:r>
                    <w:rPr>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NO2</w:t>
                  </w:r>
                </w:p>
              </w:tc>
              <w:tc>
                <w:tcPr>
                  <w:tcW w:w="3330" w:type="dxa"/>
                  <w:vAlign w:val="center"/>
                </w:tcPr>
                <w:p>
                  <w:pPr>
                    <w:pStyle w:val="57"/>
                    <w:rPr>
                      <w:color w:val="auto"/>
                    </w:rPr>
                  </w:pPr>
                  <w:r>
                    <w:rPr>
                      <w:color w:val="auto"/>
                    </w:rPr>
                    <w:t>年均浓度</w:t>
                  </w:r>
                </w:p>
              </w:tc>
              <w:tc>
                <w:tcPr>
                  <w:tcW w:w="1138" w:type="dxa"/>
                  <w:vAlign w:val="center"/>
                </w:tcPr>
                <w:p>
                  <w:pPr>
                    <w:pStyle w:val="57"/>
                    <w:rPr>
                      <w:color w:val="auto"/>
                    </w:rPr>
                  </w:pPr>
                  <w:r>
                    <w:rPr>
                      <w:rFonts w:hint="eastAsia"/>
                      <w:color w:val="auto"/>
                    </w:rPr>
                    <w:t>17</w:t>
                  </w:r>
                  <w:r>
                    <w:rPr>
                      <w:color w:val="auto"/>
                    </w:rPr>
                    <w:t>µg/</w:t>
                  </w:r>
                  <w:r>
                    <w:rPr>
                      <w:rFonts w:hint="eastAsia"/>
                      <w:color w:val="auto"/>
                    </w:rPr>
                    <w:t>m³</w:t>
                  </w:r>
                </w:p>
              </w:tc>
              <w:tc>
                <w:tcPr>
                  <w:tcW w:w="1138" w:type="dxa"/>
                  <w:vAlign w:val="center"/>
                </w:tcPr>
                <w:p>
                  <w:pPr>
                    <w:pStyle w:val="57"/>
                    <w:rPr>
                      <w:color w:val="auto"/>
                    </w:rPr>
                  </w:pPr>
                  <w:r>
                    <w:rPr>
                      <w:color w:val="auto"/>
                    </w:rPr>
                    <w:t>40µg/</w:t>
                  </w:r>
                  <w:r>
                    <w:rPr>
                      <w:rFonts w:hint="eastAsia"/>
                      <w:color w:val="auto"/>
                    </w:rPr>
                    <w:t>m³</w:t>
                  </w:r>
                </w:p>
              </w:tc>
              <w:tc>
                <w:tcPr>
                  <w:tcW w:w="853" w:type="dxa"/>
                  <w:vAlign w:val="center"/>
                </w:tcPr>
                <w:p>
                  <w:pPr>
                    <w:pStyle w:val="57"/>
                    <w:rPr>
                      <w:color w:val="auto"/>
                    </w:rPr>
                  </w:pPr>
                  <w:r>
                    <w:rPr>
                      <w:rFonts w:hint="eastAsia"/>
                      <w:color w:val="auto"/>
                    </w:rPr>
                    <w:t>42.5</w:t>
                  </w:r>
                  <w:r>
                    <w:rPr>
                      <w:color w:val="auto"/>
                    </w:rPr>
                    <w:t>%</w:t>
                  </w:r>
                </w:p>
              </w:tc>
              <w:tc>
                <w:tcPr>
                  <w:tcW w:w="1144" w:type="dxa"/>
                  <w:vAlign w:val="center"/>
                </w:tcPr>
                <w:p>
                  <w:pPr>
                    <w:pStyle w:val="57"/>
                    <w:rPr>
                      <w:color w:val="auto"/>
                    </w:rPr>
                  </w:pPr>
                  <w:r>
                    <w:rPr>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PM10</w:t>
                  </w:r>
                </w:p>
              </w:tc>
              <w:tc>
                <w:tcPr>
                  <w:tcW w:w="3330" w:type="dxa"/>
                  <w:vAlign w:val="center"/>
                </w:tcPr>
                <w:p>
                  <w:pPr>
                    <w:pStyle w:val="57"/>
                    <w:rPr>
                      <w:color w:val="auto"/>
                    </w:rPr>
                  </w:pPr>
                  <w:r>
                    <w:rPr>
                      <w:color w:val="auto"/>
                    </w:rPr>
                    <w:t>年均浓度</w:t>
                  </w:r>
                </w:p>
              </w:tc>
              <w:tc>
                <w:tcPr>
                  <w:tcW w:w="1138" w:type="dxa"/>
                  <w:vAlign w:val="center"/>
                </w:tcPr>
                <w:p>
                  <w:pPr>
                    <w:pStyle w:val="57"/>
                    <w:rPr>
                      <w:color w:val="auto"/>
                    </w:rPr>
                  </w:pPr>
                  <w:r>
                    <w:rPr>
                      <w:rFonts w:hint="eastAsia"/>
                      <w:color w:val="auto"/>
                    </w:rPr>
                    <w:t>40</w:t>
                  </w:r>
                  <w:r>
                    <w:rPr>
                      <w:color w:val="auto"/>
                    </w:rPr>
                    <w:t>µg/</w:t>
                  </w:r>
                  <w:r>
                    <w:rPr>
                      <w:rFonts w:hint="eastAsia"/>
                      <w:color w:val="auto"/>
                    </w:rPr>
                    <w:t>m³</w:t>
                  </w:r>
                </w:p>
              </w:tc>
              <w:tc>
                <w:tcPr>
                  <w:tcW w:w="1138" w:type="dxa"/>
                  <w:vAlign w:val="center"/>
                </w:tcPr>
                <w:p>
                  <w:pPr>
                    <w:pStyle w:val="57"/>
                    <w:rPr>
                      <w:color w:val="auto"/>
                    </w:rPr>
                  </w:pPr>
                  <w:r>
                    <w:rPr>
                      <w:color w:val="auto"/>
                    </w:rPr>
                    <w:t>70µg/</w:t>
                  </w:r>
                  <w:r>
                    <w:rPr>
                      <w:rFonts w:hint="eastAsia"/>
                      <w:color w:val="auto"/>
                    </w:rPr>
                    <w:t>m³</w:t>
                  </w:r>
                </w:p>
              </w:tc>
              <w:tc>
                <w:tcPr>
                  <w:tcW w:w="853" w:type="dxa"/>
                  <w:vAlign w:val="center"/>
                </w:tcPr>
                <w:p>
                  <w:pPr>
                    <w:pStyle w:val="57"/>
                    <w:rPr>
                      <w:color w:val="auto"/>
                    </w:rPr>
                  </w:pPr>
                  <w:r>
                    <w:rPr>
                      <w:rFonts w:hint="eastAsia"/>
                      <w:color w:val="auto"/>
                    </w:rPr>
                    <w:t>57.1</w:t>
                  </w:r>
                  <w:r>
                    <w:rPr>
                      <w:color w:val="auto"/>
                    </w:rPr>
                    <w:t>%</w:t>
                  </w:r>
                </w:p>
              </w:tc>
              <w:tc>
                <w:tcPr>
                  <w:tcW w:w="1144" w:type="dxa"/>
                  <w:vAlign w:val="center"/>
                </w:tcPr>
                <w:p>
                  <w:pPr>
                    <w:pStyle w:val="57"/>
                    <w:rPr>
                      <w:color w:val="auto"/>
                    </w:rPr>
                  </w:pPr>
                  <w:r>
                    <w:rPr>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P</w:t>
                  </w:r>
                  <w:r>
                    <w:rPr>
                      <w:rFonts w:hint="eastAsia"/>
                      <w:color w:val="auto"/>
                    </w:rPr>
                    <w:t>M2.5</w:t>
                  </w:r>
                </w:p>
              </w:tc>
              <w:tc>
                <w:tcPr>
                  <w:tcW w:w="3330" w:type="dxa"/>
                  <w:vAlign w:val="center"/>
                </w:tcPr>
                <w:p>
                  <w:pPr>
                    <w:pStyle w:val="57"/>
                    <w:rPr>
                      <w:color w:val="auto"/>
                    </w:rPr>
                  </w:pPr>
                  <w:r>
                    <w:rPr>
                      <w:color w:val="auto"/>
                    </w:rPr>
                    <w:t>年均浓度</w:t>
                  </w:r>
                </w:p>
              </w:tc>
              <w:tc>
                <w:tcPr>
                  <w:tcW w:w="1138" w:type="dxa"/>
                  <w:vAlign w:val="center"/>
                </w:tcPr>
                <w:p>
                  <w:pPr>
                    <w:pStyle w:val="57"/>
                    <w:rPr>
                      <w:color w:val="auto"/>
                    </w:rPr>
                  </w:pPr>
                  <w:r>
                    <w:rPr>
                      <w:rFonts w:hint="eastAsia"/>
                      <w:color w:val="auto"/>
                    </w:rPr>
                    <w:t>25</w:t>
                  </w:r>
                  <w:r>
                    <w:rPr>
                      <w:color w:val="auto"/>
                    </w:rPr>
                    <w:t>µg/</w:t>
                  </w:r>
                  <w:r>
                    <w:rPr>
                      <w:rFonts w:hint="eastAsia"/>
                      <w:color w:val="auto"/>
                    </w:rPr>
                    <w:t>m³</w:t>
                  </w:r>
                </w:p>
              </w:tc>
              <w:tc>
                <w:tcPr>
                  <w:tcW w:w="1138" w:type="dxa"/>
                  <w:vAlign w:val="center"/>
                </w:tcPr>
                <w:p>
                  <w:pPr>
                    <w:pStyle w:val="57"/>
                    <w:rPr>
                      <w:color w:val="auto"/>
                    </w:rPr>
                  </w:pPr>
                  <w:r>
                    <w:rPr>
                      <w:color w:val="auto"/>
                    </w:rPr>
                    <w:t>35µg/</w:t>
                  </w:r>
                  <w:r>
                    <w:rPr>
                      <w:rFonts w:hint="eastAsia"/>
                      <w:color w:val="auto"/>
                    </w:rPr>
                    <w:t>m³</w:t>
                  </w:r>
                </w:p>
              </w:tc>
              <w:tc>
                <w:tcPr>
                  <w:tcW w:w="853" w:type="dxa"/>
                  <w:vAlign w:val="center"/>
                </w:tcPr>
                <w:p>
                  <w:pPr>
                    <w:pStyle w:val="57"/>
                    <w:rPr>
                      <w:color w:val="auto"/>
                    </w:rPr>
                  </w:pPr>
                  <w:r>
                    <w:rPr>
                      <w:rFonts w:hint="eastAsia"/>
                      <w:color w:val="auto"/>
                    </w:rPr>
                    <w:t>71.4</w:t>
                  </w:r>
                  <w:r>
                    <w:rPr>
                      <w:color w:val="auto"/>
                    </w:rPr>
                    <w:t>%</w:t>
                  </w:r>
                </w:p>
              </w:tc>
              <w:tc>
                <w:tcPr>
                  <w:tcW w:w="1144" w:type="dxa"/>
                  <w:vAlign w:val="center"/>
                </w:tcPr>
                <w:p>
                  <w:pPr>
                    <w:pStyle w:val="57"/>
                    <w:rPr>
                      <w:color w:val="auto"/>
                    </w:rPr>
                  </w:pPr>
                  <w:r>
                    <w:rPr>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CO</w:t>
                  </w:r>
                </w:p>
              </w:tc>
              <w:tc>
                <w:tcPr>
                  <w:tcW w:w="3330" w:type="dxa"/>
                  <w:vAlign w:val="center"/>
                </w:tcPr>
                <w:p>
                  <w:pPr>
                    <w:pStyle w:val="57"/>
                    <w:rPr>
                      <w:color w:val="auto"/>
                    </w:rPr>
                  </w:pPr>
                  <w:r>
                    <w:rPr>
                      <w:color w:val="auto"/>
                    </w:rPr>
                    <w:t>24小时平均第95百分位数</w:t>
                  </w:r>
                </w:p>
              </w:tc>
              <w:tc>
                <w:tcPr>
                  <w:tcW w:w="1138" w:type="dxa"/>
                  <w:vAlign w:val="center"/>
                </w:tcPr>
                <w:p>
                  <w:pPr>
                    <w:pStyle w:val="57"/>
                    <w:rPr>
                      <w:color w:val="auto"/>
                    </w:rPr>
                  </w:pPr>
                  <w:r>
                    <w:rPr>
                      <w:color w:val="auto"/>
                    </w:rPr>
                    <w:t>1</w:t>
                  </w:r>
                  <w:r>
                    <w:rPr>
                      <w:rFonts w:hint="eastAsia"/>
                      <w:color w:val="auto"/>
                    </w:rPr>
                    <w:t>.3mg</w:t>
                  </w:r>
                  <w:r>
                    <w:rPr>
                      <w:color w:val="auto"/>
                    </w:rPr>
                    <w:t>/</w:t>
                  </w:r>
                  <w:r>
                    <w:rPr>
                      <w:rFonts w:hint="eastAsia"/>
                      <w:color w:val="auto"/>
                    </w:rPr>
                    <w:t>m³</w:t>
                  </w:r>
                </w:p>
              </w:tc>
              <w:tc>
                <w:tcPr>
                  <w:tcW w:w="1138" w:type="dxa"/>
                  <w:vAlign w:val="center"/>
                </w:tcPr>
                <w:p>
                  <w:pPr>
                    <w:pStyle w:val="57"/>
                    <w:rPr>
                      <w:color w:val="auto"/>
                    </w:rPr>
                  </w:pPr>
                  <w:r>
                    <w:rPr>
                      <w:color w:val="auto"/>
                    </w:rPr>
                    <w:t>4</w:t>
                  </w:r>
                  <w:r>
                    <w:rPr>
                      <w:rFonts w:hint="eastAsia"/>
                      <w:color w:val="auto"/>
                    </w:rPr>
                    <w:t>m</w:t>
                  </w:r>
                  <w:r>
                    <w:rPr>
                      <w:color w:val="auto"/>
                    </w:rPr>
                    <w:t>g/</w:t>
                  </w:r>
                  <w:r>
                    <w:rPr>
                      <w:rFonts w:hint="eastAsia"/>
                      <w:color w:val="auto"/>
                    </w:rPr>
                    <w:t>m³</w:t>
                  </w:r>
                </w:p>
              </w:tc>
              <w:tc>
                <w:tcPr>
                  <w:tcW w:w="853" w:type="dxa"/>
                  <w:vAlign w:val="center"/>
                </w:tcPr>
                <w:p>
                  <w:pPr>
                    <w:pStyle w:val="57"/>
                    <w:rPr>
                      <w:color w:val="auto"/>
                    </w:rPr>
                  </w:pPr>
                  <w:r>
                    <w:rPr>
                      <w:rFonts w:hint="eastAsia"/>
                      <w:color w:val="auto"/>
                    </w:rPr>
                    <w:t>32.5</w:t>
                  </w:r>
                  <w:r>
                    <w:rPr>
                      <w:color w:val="auto"/>
                    </w:rPr>
                    <w:t>%</w:t>
                  </w:r>
                </w:p>
              </w:tc>
              <w:tc>
                <w:tcPr>
                  <w:tcW w:w="1144" w:type="dxa"/>
                  <w:vAlign w:val="center"/>
                </w:tcPr>
                <w:p>
                  <w:pPr>
                    <w:pStyle w:val="57"/>
                    <w:rPr>
                      <w:color w:val="auto"/>
                    </w:rPr>
                  </w:pPr>
                  <w:r>
                    <w:rPr>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19" w:type="dxa"/>
                  <w:vAlign w:val="center"/>
                </w:tcPr>
                <w:p>
                  <w:pPr>
                    <w:pStyle w:val="57"/>
                    <w:rPr>
                      <w:color w:val="auto"/>
                    </w:rPr>
                  </w:pPr>
                  <w:r>
                    <w:rPr>
                      <w:color w:val="auto"/>
                    </w:rPr>
                    <w:t>臭氧</w:t>
                  </w:r>
                </w:p>
              </w:tc>
              <w:tc>
                <w:tcPr>
                  <w:tcW w:w="3330" w:type="dxa"/>
                  <w:vAlign w:val="center"/>
                </w:tcPr>
                <w:p>
                  <w:pPr>
                    <w:pStyle w:val="57"/>
                    <w:rPr>
                      <w:color w:val="auto"/>
                    </w:rPr>
                  </w:pPr>
                  <w:r>
                    <w:rPr>
                      <w:color w:val="auto"/>
                    </w:rPr>
                    <w:t>日最大8小时平均第90百分位数</w:t>
                  </w:r>
                </w:p>
              </w:tc>
              <w:tc>
                <w:tcPr>
                  <w:tcW w:w="1138" w:type="dxa"/>
                  <w:vAlign w:val="center"/>
                </w:tcPr>
                <w:p>
                  <w:pPr>
                    <w:pStyle w:val="57"/>
                    <w:rPr>
                      <w:color w:val="auto"/>
                    </w:rPr>
                  </w:pPr>
                  <w:r>
                    <w:rPr>
                      <w:color w:val="auto"/>
                    </w:rPr>
                    <w:t>1</w:t>
                  </w:r>
                  <w:r>
                    <w:rPr>
                      <w:rFonts w:hint="eastAsia"/>
                      <w:color w:val="auto"/>
                    </w:rPr>
                    <w:t>30</w:t>
                  </w:r>
                  <w:r>
                    <w:rPr>
                      <w:color w:val="auto"/>
                    </w:rPr>
                    <w:t>µg/</w:t>
                  </w:r>
                  <w:r>
                    <w:rPr>
                      <w:rFonts w:hint="eastAsia"/>
                      <w:color w:val="auto"/>
                    </w:rPr>
                    <w:t>m³</w:t>
                  </w:r>
                </w:p>
              </w:tc>
              <w:tc>
                <w:tcPr>
                  <w:tcW w:w="1138" w:type="dxa"/>
                  <w:vAlign w:val="center"/>
                </w:tcPr>
                <w:p>
                  <w:pPr>
                    <w:pStyle w:val="57"/>
                    <w:rPr>
                      <w:color w:val="auto"/>
                    </w:rPr>
                  </w:pPr>
                  <w:r>
                    <w:rPr>
                      <w:color w:val="auto"/>
                    </w:rPr>
                    <w:t>160µg/</w:t>
                  </w:r>
                  <w:r>
                    <w:rPr>
                      <w:rFonts w:hint="eastAsia"/>
                      <w:color w:val="auto"/>
                    </w:rPr>
                    <w:t>m³</w:t>
                  </w:r>
                </w:p>
              </w:tc>
              <w:tc>
                <w:tcPr>
                  <w:tcW w:w="853" w:type="dxa"/>
                  <w:vAlign w:val="center"/>
                </w:tcPr>
                <w:p>
                  <w:pPr>
                    <w:pStyle w:val="57"/>
                    <w:rPr>
                      <w:color w:val="auto"/>
                    </w:rPr>
                  </w:pPr>
                  <w:r>
                    <w:rPr>
                      <w:rFonts w:hint="eastAsia"/>
                      <w:color w:val="auto"/>
                    </w:rPr>
                    <w:t>81.2</w:t>
                  </w:r>
                  <w:r>
                    <w:rPr>
                      <w:color w:val="auto"/>
                    </w:rPr>
                    <w:t>%</w:t>
                  </w:r>
                </w:p>
              </w:tc>
              <w:tc>
                <w:tcPr>
                  <w:tcW w:w="1144" w:type="dxa"/>
                  <w:vAlign w:val="center"/>
                </w:tcPr>
                <w:p>
                  <w:pPr>
                    <w:pStyle w:val="57"/>
                    <w:rPr>
                      <w:color w:val="auto"/>
                    </w:rPr>
                  </w:pPr>
                  <w:r>
                    <w:rPr>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22" w:type="dxa"/>
                  <w:gridSpan w:val="6"/>
                  <w:vAlign w:val="center"/>
                </w:tcPr>
                <w:p>
                  <w:pPr>
                    <w:pStyle w:val="57"/>
                    <w:jc w:val="left"/>
                    <w:rPr>
                      <w:color w:val="auto"/>
                    </w:rPr>
                  </w:pPr>
                  <w:r>
                    <w:rPr>
                      <w:color w:val="auto"/>
                    </w:rPr>
                    <w:t>备注：HJ</w:t>
                  </w:r>
                  <w:r>
                    <w:rPr>
                      <w:rFonts w:hint="eastAsia"/>
                      <w:color w:val="auto"/>
                    </w:rPr>
                    <w:t xml:space="preserve"> </w:t>
                  </w:r>
                  <w:r>
                    <w:rPr>
                      <w:color w:val="auto"/>
                    </w:rPr>
                    <w:t>663规定试行期间，按照2013年以来全国环境质量报告书采用的达标评价方法，目前只考虑SO2、NO2、PM10，P</w:t>
                  </w:r>
                  <w:r>
                    <w:rPr>
                      <w:rFonts w:hint="eastAsia"/>
                      <w:color w:val="auto"/>
                    </w:rPr>
                    <w:t>㎡.5</w:t>
                  </w:r>
                  <w:r>
                    <w:rPr>
                      <w:color w:val="auto"/>
                    </w:rPr>
                    <w:t>年平均浓度和CO、O3百分位浓度的达标情况。</w:t>
                  </w:r>
                </w:p>
              </w:tc>
            </w:tr>
          </w:tbl>
          <w:p>
            <w:pPr>
              <w:topLinePunct/>
              <w:ind w:firstLine="480"/>
              <w:rPr>
                <w:color w:val="auto"/>
              </w:rPr>
            </w:pPr>
            <w:r>
              <w:rPr>
                <w:color w:val="auto"/>
              </w:rPr>
              <w:t>根据清远市生态环境局公报数据，</w:t>
            </w:r>
            <w:r>
              <w:rPr>
                <w:rFonts w:hint="eastAsia"/>
                <w:color w:val="auto"/>
              </w:rPr>
              <w:t>本工程</w:t>
            </w:r>
            <w:r>
              <w:rPr>
                <w:color w:val="auto"/>
              </w:rPr>
              <w:t>所在区域</w:t>
            </w:r>
            <w:r>
              <w:rPr>
                <w:rFonts w:hint="eastAsia"/>
                <w:color w:val="auto"/>
              </w:rPr>
              <w:t>连州市</w:t>
            </w:r>
            <w:r>
              <w:rPr>
                <w:color w:val="auto"/>
              </w:rPr>
              <w:t>环境空气污染物基本工程（SO</w:t>
            </w:r>
            <w:r>
              <w:rPr>
                <w:color w:val="auto"/>
                <w:vertAlign w:val="subscript"/>
              </w:rPr>
              <w:t>2</w:t>
            </w:r>
            <w:r>
              <w:rPr>
                <w:color w:val="auto"/>
              </w:rPr>
              <w:t>、NO</w:t>
            </w:r>
            <w:r>
              <w:rPr>
                <w:color w:val="auto"/>
                <w:vertAlign w:val="subscript"/>
              </w:rPr>
              <w:t>2</w:t>
            </w:r>
            <w:r>
              <w:rPr>
                <w:color w:val="auto"/>
              </w:rPr>
              <w:t>、CO、O</w:t>
            </w:r>
            <w:r>
              <w:rPr>
                <w:color w:val="auto"/>
                <w:vertAlign w:val="subscript"/>
              </w:rPr>
              <w:t>3</w:t>
            </w:r>
            <w:r>
              <w:rPr>
                <w:color w:val="auto"/>
              </w:rPr>
              <w:t>、PM</w:t>
            </w:r>
            <w:r>
              <w:rPr>
                <w:color w:val="auto"/>
                <w:vertAlign w:val="subscript"/>
              </w:rPr>
              <w:t>10</w:t>
            </w:r>
            <w:r>
              <w:rPr>
                <w:color w:val="auto"/>
              </w:rPr>
              <w:t>、P</w:t>
            </w:r>
            <w:r>
              <w:rPr>
                <w:rFonts w:hint="eastAsia"/>
                <w:color w:val="auto"/>
              </w:rPr>
              <w:t>M</w:t>
            </w:r>
            <w:r>
              <w:rPr>
                <w:rFonts w:hint="eastAsia"/>
                <w:color w:val="auto"/>
                <w:vertAlign w:val="subscript"/>
              </w:rPr>
              <w:t>2.5</w:t>
            </w:r>
            <w:r>
              <w:rPr>
                <w:color w:val="auto"/>
              </w:rPr>
              <w:t>）浓度限值指标均能达到《环境空气质量标准》（GB</w:t>
            </w:r>
            <w:r>
              <w:rPr>
                <w:rFonts w:hint="eastAsia"/>
                <w:color w:val="auto"/>
              </w:rPr>
              <w:t xml:space="preserve"> </w:t>
            </w:r>
            <w:r>
              <w:rPr>
                <w:color w:val="auto"/>
              </w:rPr>
              <w:t>3095-2012）及其2018年修改单二级标准，因此</w:t>
            </w:r>
            <w:r>
              <w:rPr>
                <w:rFonts w:hint="eastAsia"/>
                <w:color w:val="auto"/>
              </w:rPr>
              <w:t>本工程</w:t>
            </w:r>
            <w:r>
              <w:rPr>
                <w:color w:val="auto"/>
              </w:rPr>
              <w:t>所在区域为</w:t>
            </w:r>
            <w:r>
              <w:rPr>
                <w:rFonts w:hint="eastAsia"/>
                <w:color w:val="auto"/>
              </w:rPr>
              <w:t>环境空气质量</w:t>
            </w:r>
            <w:r>
              <w:rPr>
                <w:color w:val="auto"/>
              </w:rPr>
              <w:t>达标区。</w:t>
            </w:r>
          </w:p>
          <w:p>
            <w:pPr>
              <w:pStyle w:val="55"/>
              <w:ind w:firstLine="482"/>
              <w:rPr>
                <w:color w:val="auto"/>
              </w:rPr>
            </w:pPr>
            <w:r>
              <w:rPr>
                <w:rFonts w:hint="eastAsia"/>
                <w:color w:val="auto"/>
              </w:rPr>
              <w:t>2、</w:t>
            </w:r>
            <w:r>
              <w:rPr>
                <w:color w:val="auto"/>
              </w:rPr>
              <w:t>水环境质量现状</w:t>
            </w:r>
          </w:p>
          <w:p>
            <w:pPr>
              <w:ind w:firstLine="48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）地表水环境</w:t>
            </w:r>
          </w:p>
          <w:p>
            <w:pPr>
              <w:ind w:firstLine="480"/>
              <w:rPr>
                <w:rFonts w:hint="eastAsia"/>
                <w:color w:val="auto"/>
              </w:rPr>
            </w:pPr>
            <w:r>
              <w:rPr>
                <w:color w:val="auto"/>
              </w:rPr>
              <w:t>本项目所在水体为西江水，</w:t>
            </w:r>
            <w:r>
              <w:rPr>
                <w:rFonts w:hint="eastAsia"/>
                <w:color w:val="auto"/>
              </w:rPr>
              <w:t>西江水</w:t>
            </w:r>
            <w:r>
              <w:rPr>
                <w:color w:val="auto"/>
              </w:rPr>
              <w:t>是黄桥水的一级支流，根据《广东省地表水环境功能区划》(粤环[2011]14号)，黄桥水为综合用水，水质目标为</w:t>
            </w:r>
            <w:r>
              <w:rPr>
                <w:rFonts w:hint="eastAsia"/>
                <w:color w:val="auto"/>
              </w:rPr>
              <w:t>Ⅱ</w:t>
            </w:r>
            <w:r>
              <w:rPr>
                <w:color w:val="auto"/>
              </w:rPr>
              <w:t>类，执行国家《地表水环境质量标准》（GB3838-2002）</w:t>
            </w:r>
            <w:r>
              <w:rPr>
                <w:rFonts w:hint="eastAsia"/>
                <w:color w:val="auto"/>
              </w:rPr>
              <w:t>Ⅱ</w:t>
            </w:r>
            <w:r>
              <w:rPr>
                <w:color w:val="auto"/>
              </w:rPr>
              <w:t>类标准。根据广东省人民政府《关于同意实施广东省地表水环境功能区划的批复》（粤府函【2011】29号）中“对于未列出上游及支流的水体环境质量控制目标以保证主流的环境质量控制目标为最低要求，原则上与汇入干流的功能目标要求不能相差超过一个级别”，因此西江水参考执行《地表水环境质量标准》（GB3838-2002）</w:t>
            </w:r>
            <w:r>
              <w:rPr>
                <w:rFonts w:hint="eastAsia"/>
                <w:color w:val="auto"/>
              </w:rPr>
              <w:t>Ⅱ</w:t>
            </w:r>
            <w:r>
              <w:rPr>
                <w:color w:val="auto"/>
              </w:rPr>
              <w:t>类标准。</w:t>
            </w:r>
          </w:p>
          <w:p>
            <w:pPr>
              <w:widowControl w:val="0"/>
              <w:spacing w:line="360" w:lineRule="auto"/>
              <w:ind w:firstLine="480" w:firstLineChars="200"/>
              <w:jc w:val="both"/>
              <w:rPr>
                <w:color w:val="auto"/>
              </w:rPr>
            </w:pPr>
            <w:r>
              <w:rPr>
                <w:color w:val="auto"/>
              </w:rPr>
              <w:t>本项目对</w:t>
            </w:r>
            <w:r>
              <w:rPr>
                <w:rFonts w:hint="eastAsia"/>
                <w:color w:val="auto"/>
                <w:lang w:eastAsia="zh-CN"/>
              </w:rPr>
              <w:t>西江</w:t>
            </w:r>
            <w:r>
              <w:rPr>
                <w:rFonts w:hint="eastAsia"/>
                <w:color w:val="auto"/>
              </w:rPr>
              <w:t>水</w:t>
            </w:r>
            <w:r>
              <w:rPr>
                <w:color w:val="auto"/>
              </w:rPr>
              <w:t>的环境质量现状评价采取引用数据的形式，引用《</w:t>
            </w:r>
            <w:r>
              <w:rPr>
                <w:rFonts w:hint="eastAsia"/>
                <w:color w:val="auto"/>
              </w:rPr>
              <w:t>连州市西江水治理工程</w:t>
            </w:r>
            <w:r>
              <w:rPr>
                <w:color w:val="auto"/>
              </w:rPr>
              <w:t>环境影响评价报告表》的检测报告（监测时间：2019年09月25日～09月27日）。其监测断面及监测结果见表</w:t>
            </w:r>
            <w:r>
              <w:rPr>
                <w:rFonts w:hint="eastAsia"/>
                <w:color w:val="auto"/>
                <w:lang w:val="en-US" w:eastAsia="zh-CN"/>
              </w:rPr>
              <w:t>3-2</w:t>
            </w:r>
            <w:r>
              <w:rPr>
                <w:color w:val="auto"/>
              </w:rPr>
              <w:t>、表</w:t>
            </w:r>
            <w:r>
              <w:rPr>
                <w:rFonts w:hint="eastAsia"/>
                <w:color w:val="auto"/>
                <w:lang w:val="en-US" w:eastAsia="zh-CN"/>
              </w:rPr>
              <w:t>3-3</w:t>
            </w:r>
            <w:r>
              <w:rPr>
                <w:color w:val="auto"/>
              </w:rPr>
              <w:t>、表</w:t>
            </w:r>
            <w:r>
              <w:rPr>
                <w:rFonts w:hint="eastAsia"/>
                <w:color w:val="auto"/>
                <w:lang w:val="en-US" w:eastAsia="zh-CN"/>
              </w:rPr>
              <w:t>3-4</w:t>
            </w:r>
            <w:r>
              <w:rPr>
                <w:color w:val="auto"/>
              </w:rPr>
              <w:t>。</w:t>
            </w:r>
          </w:p>
          <w:p>
            <w:pPr>
              <w:adjustRightInd w:val="0"/>
              <w:snapToGrid w:val="0"/>
              <w:spacing w:line="360" w:lineRule="auto"/>
              <w:jc w:val="center"/>
              <w:rPr>
                <w:b/>
                <w:bCs/>
                <w:color w:val="auto"/>
              </w:rPr>
            </w:pPr>
            <w:r>
              <w:rPr>
                <w:b/>
                <w:bCs/>
                <w:color w:val="auto"/>
              </w:rPr>
              <w:t>表</w:t>
            </w:r>
            <w:r>
              <w:rPr>
                <w:rFonts w:hint="eastAsia"/>
                <w:b/>
                <w:bCs/>
                <w:color w:val="auto"/>
                <w:lang w:val="en-US" w:eastAsia="zh-CN"/>
              </w:rPr>
              <w:t>3-2</w:t>
            </w:r>
            <w:r>
              <w:rPr>
                <w:b/>
                <w:bCs/>
                <w:color w:val="auto"/>
              </w:rPr>
              <w:t xml:space="preserve"> 地表水现状监测断面布设情况</w:t>
            </w:r>
          </w:p>
          <w:tbl>
            <w:tblPr>
              <w:tblStyle w:val="39"/>
              <w:tblW w:w="8519"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027"/>
              <w:gridCol w:w="4191"/>
              <w:gridCol w:w="235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51"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断面</w:t>
                  </w:r>
                </w:p>
              </w:tc>
              <w:tc>
                <w:tcPr>
                  <w:tcW w:w="1027" w:type="dxa"/>
                  <w:vAlign w:val="center"/>
                </w:tcPr>
                <w:p>
                  <w:pPr>
                    <w:spacing w:line="240" w:lineRule="auto"/>
                    <w:ind w:firstLine="0" w:firstLineChars="0"/>
                    <w:jc w:val="center"/>
                    <w:rPr>
                      <w:color w:val="auto"/>
                      <w:sz w:val="21"/>
                      <w:szCs w:val="21"/>
                    </w:rPr>
                  </w:pPr>
                  <w:r>
                    <w:rPr>
                      <w:color w:val="auto"/>
                      <w:sz w:val="21"/>
                      <w:szCs w:val="21"/>
                    </w:rPr>
                    <w:t>河流</w:t>
                  </w:r>
                </w:p>
              </w:tc>
              <w:tc>
                <w:tcPr>
                  <w:tcW w:w="4191" w:type="dxa"/>
                  <w:vAlign w:val="center"/>
                </w:tcPr>
                <w:p>
                  <w:pPr>
                    <w:spacing w:line="240" w:lineRule="auto"/>
                    <w:ind w:firstLine="0" w:firstLineChars="0"/>
                    <w:jc w:val="center"/>
                    <w:rPr>
                      <w:color w:val="auto"/>
                      <w:sz w:val="21"/>
                      <w:szCs w:val="21"/>
                    </w:rPr>
                  </w:pPr>
                  <w:r>
                    <w:rPr>
                      <w:color w:val="auto"/>
                      <w:sz w:val="21"/>
                      <w:szCs w:val="21"/>
                    </w:rPr>
                    <w:t>断面位置</w:t>
                  </w:r>
                </w:p>
              </w:tc>
              <w:tc>
                <w:tcPr>
                  <w:tcW w:w="2350" w:type="dxa"/>
                  <w:vAlign w:val="center"/>
                </w:tcPr>
                <w:p>
                  <w:pPr>
                    <w:spacing w:line="240" w:lineRule="auto"/>
                    <w:ind w:firstLine="0" w:firstLineChars="0"/>
                    <w:jc w:val="center"/>
                    <w:rPr>
                      <w:rFonts w:hint="eastAsia"/>
                      <w:color w:val="auto"/>
                      <w:sz w:val="21"/>
                      <w:szCs w:val="21"/>
                      <w:lang w:eastAsia="zh-CN"/>
                    </w:rPr>
                  </w:pPr>
                  <w:r>
                    <w:rPr>
                      <w:rFonts w:hint="eastAsia"/>
                      <w:color w:val="auto"/>
                      <w:sz w:val="21"/>
                      <w:szCs w:val="21"/>
                      <w:lang w:eastAsia="zh-CN"/>
                    </w:rPr>
                    <w:t>相对本项目的位置、距离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51" w:type="dxa"/>
                  <w:vAlign w:val="center"/>
                </w:tcPr>
                <w:p>
                  <w:pPr>
                    <w:spacing w:line="240" w:lineRule="auto"/>
                    <w:ind w:firstLine="0" w:firstLineChars="0"/>
                    <w:jc w:val="center"/>
                    <w:rPr>
                      <w:color w:val="auto"/>
                      <w:sz w:val="21"/>
                      <w:szCs w:val="21"/>
                    </w:rPr>
                  </w:pPr>
                  <w:r>
                    <w:rPr>
                      <w:color w:val="auto"/>
                      <w:sz w:val="21"/>
                      <w:szCs w:val="21"/>
                    </w:rPr>
                    <w:t>W1</w:t>
                  </w:r>
                </w:p>
              </w:tc>
              <w:tc>
                <w:tcPr>
                  <w:tcW w:w="1027" w:type="dxa"/>
                  <w:vMerge w:val="restart"/>
                  <w:vAlign w:val="center"/>
                </w:tcPr>
                <w:p>
                  <w:pPr>
                    <w:spacing w:line="240" w:lineRule="auto"/>
                    <w:ind w:firstLine="0" w:firstLineChars="0"/>
                    <w:jc w:val="center"/>
                    <w:rPr>
                      <w:color w:val="auto"/>
                      <w:sz w:val="21"/>
                      <w:szCs w:val="21"/>
                    </w:rPr>
                  </w:pPr>
                  <w:r>
                    <w:rPr>
                      <w:color w:val="auto"/>
                      <w:sz w:val="21"/>
                      <w:szCs w:val="21"/>
                    </w:rPr>
                    <w:t>西江水</w:t>
                  </w:r>
                </w:p>
              </w:tc>
              <w:tc>
                <w:tcPr>
                  <w:tcW w:w="4191" w:type="dxa"/>
                  <w:vAlign w:val="center"/>
                </w:tcPr>
                <w:p>
                  <w:pPr>
                    <w:spacing w:line="240" w:lineRule="auto"/>
                    <w:ind w:firstLine="0" w:firstLineChars="0"/>
                    <w:jc w:val="center"/>
                    <w:rPr>
                      <w:rFonts w:hint="eastAsia"/>
                      <w:color w:val="auto"/>
                      <w:sz w:val="21"/>
                      <w:szCs w:val="21"/>
                      <w:lang w:eastAsia="zh-CN"/>
                    </w:rPr>
                  </w:pPr>
                  <w:r>
                    <w:rPr>
                      <w:rFonts w:hint="eastAsia"/>
                      <w:color w:val="auto"/>
                      <w:sz w:val="21"/>
                      <w:szCs w:val="21"/>
                      <w:lang w:eastAsia="zh-CN"/>
                    </w:rPr>
                    <w:t>金盛复合材料厂附近</w:t>
                  </w:r>
                </w:p>
                <w:p>
                  <w:pPr>
                    <w:spacing w:line="240" w:lineRule="auto"/>
                    <w:ind w:firstLine="0" w:firstLineChars="0"/>
                    <w:jc w:val="center"/>
                    <w:rPr>
                      <w:color w:val="auto"/>
                      <w:sz w:val="21"/>
                      <w:szCs w:val="21"/>
                    </w:rPr>
                  </w:pPr>
                  <w:r>
                    <w:rPr>
                      <w:rFonts w:hint="eastAsia"/>
                      <w:color w:val="auto"/>
                      <w:sz w:val="21"/>
                      <w:szCs w:val="21"/>
                      <w:lang w:eastAsia="zh-CN"/>
                    </w:rPr>
                    <w:t>（</w:t>
                  </w:r>
                  <w:r>
                    <w:rPr>
                      <w:rFonts w:hint="eastAsia"/>
                      <w:color w:val="auto"/>
                      <w:sz w:val="21"/>
                      <w:szCs w:val="21"/>
                    </w:rPr>
                    <w:t>24°45'44.32"北</w:t>
                  </w:r>
                  <w:r>
                    <w:rPr>
                      <w:rFonts w:hint="eastAsia"/>
                      <w:color w:val="auto"/>
                      <w:sz w:val="21"/>
                      <w:szCs w:val="21"/>
                      <w:lang w:eastAsia="zh-CN"/>
                    </w:rPr>
                    <w:t>，112°35'16.45"东）</w:t>
                  </w:r>
                </w:p>
              </w:tc>
              <w:tc>
                <w:tcPr>
                  <w:tcW w:w="2350" w:type="dxa"/>
                  <w:vAlign w:val="center"/>
                </w:tcPr>
                <w:p>
                  <w:pPr>
                    <w:spacing w:line="240" w:lineRule="auto"/>
                    <w:ind w:firstLine="0" w:firstLineChars="0"/>
                    <w:jc w:val="center"/>
                    <w:rPr>
                      <w:rFonts w:hint="default"/>
                      <w:color w:val="auto"/>
                      <w:sz w:val="21"/>
                      <w:szCs w:val="21"/>
                      <w:lang w:val="en-US" w:eastAsia="zh-CN"/>
                    </w:rPr>
                  </w:pPr>
                  <w:r>
                    <w:rPr>
                      <w:rFonts w:hint="eastAsia"/>
                      <w:color w:val="auto"/>
                      <w:sz w:val="21"/>
                      <w:szCs w:val="21"/>
                      <w:lang w:eastAsia="zh-CN"/>
                    </w:rPr>
                    <w:t>西北，</w:t>
                  </w:r>
                  <w:r>
                    <w:rPr>
                      <w:rFonts w:hint="eastAsia"/>
                      <w:color w:val="auto"/>
                      <w:sz w:val="21"/>
                      <w:szCs w:val="21"/>
                      <w:lang w:val="en-US" w:eastAsia="zh-CN"/>
                    </w:rPr>
                    <w:t>415m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51" w:type="dxa"/>
                  <w:vAlign w:val="center"/>
                </w:tcPr>
                <w:p>
                  <w:pPr>
                    <w:spacing w:line="240" w:lineRule="auto"/>
                    <w:ind w:firstLine="0" w:firstLineChars="0"/>
                    <w:jc w:val="center"/>
                    <w:rPr>
                      <w:color w:val="auto"/>
                      <w:sz w:val="21"/>
                      <w:szCs w:val="21"/>
                    </w:rPr>
                  </w:pPr>
                  <w:r>
                    <w:rPr>
                      <w:color w:val="auto"/>
                      <w:sz w:val="21"/>
                      <w:szCs w:val="21"/>
                    </w:rPr>
                    <w:t>W2</w:t>
                  </w:r>
                </w:p>
              </w:tc>
              <w:tc>
                <w:tcPr>
                  <w:tcW w:w="1027" w:type="dxa"/>
                  <w:vMerge w:val="continue"/>
                  <w:vAlign w:val="center"/>
                </w:tcPr>
                <w:p>
                  <w:pPr>
                    <w:spacing w:line="240" w:lineRule="auto"/>
                    <w:ind w:firstLine="0" w:firstLineChars="0"/>
                    <w:jc w:val="center"/>
                    <w:rPr>
                      <w:color w:val="auto"/>
                      <w:sz w:val="21"/>
                      <w:szCs w:val="21"/>
                    </w:rPr>
                  </w:pPr>
                </w:p>
              </w:tc>
              <w:tc>
                <w:tcPr>
                  <w:tcW w:w="4191" w:type="dxa"/>
                  <w:vAlign w:val="center"/>
                </w:tcPr>
                <w:p>
                  <w:pPr>
                    <w:spacing w:line="240" w:lineRule="auto"/>
                    <w:ind w:firstLine="0" w:firstLineChars="0"/>
                    <w:jc w:val="center"/>
                    <w:rPr>
                      <w:rFonts w:hint="eastAsia"/>
                      <w:color w:val="auto"/>
                      <w:sz w:val="21"/>
                      <w:szCs w:val="21"/>
                      <w:lang w:eastAsia="zh-CN"/>
                    </w:rPr>
                  </w:pPr>
                  <w:r>
                    <w:rPr>
                      <w:rFonts w:hint="eastAsia"/>
                      <w:color w:val="auto"/>
                      <w:sz w:val="21"/>
                      <w:szCs w:val="21"/>
                      <w:lang w:eastAsia="zh-CN"/>
                    </w:rPr>
                    <w:t>西江镇区西侧附近</w:t>
                  </w:r>
                </w:p>
                <w:p>
                  <w:pPr>
                    <w:spacing w:line="240" w:lineRule="auto"/>
                    <w:ind w:firstLine="0" w:firstLineChars="0"/>
                    <w:jc w:val="center"/>
                    <w:rPr>
                      <w:rFonts w:hint="eastAsia"/>
                      <w:color w:val="auto"/>
                      <w:sz w:val="21"/>
                      <w:szCs w:val="21"/>
                      <w:lang w:eastAsia="zh-CN"/>
                    </w:rPr>
                  </w:pPr>
                  <w:r>
                    <w:rPr>
                      <w:rFonts w:hint="eastAsia"/>
                      <w:color w:val="auto"/>
                      <w:sz w:val="21"/>
                      <w:szCs w:val="21"/>
                      <w:lang w:eastAsia="zh-CN"/>
                    </w:rPr>
                    <w:t>（</w:t>
                  </w:r>
                  <w:r>
                    <w:rPr>
                      <w:rFonts w:hint="eastAsia"/>
                      <w:color w:val="auto"/>
                      <w:sz w:val="21"/>
                      <w:szCs w:val="21"/>
                    </w:rPr>
                    <w:t>24°45'45.21"北</w:t>
                  </w:r>
                  <w:r>
                    <w:rPr>
                      <w:rFonts w:hint="eastAsia"/>
                      <w:color w:val="auto"/>
                      <w:sz w:val="21"/>
                      <w:szCs w:val="21"/>
                      <w:lang w:eastAsia="zh-CN"/>
                    </w:rPr>
                    <w:t>，112°36'14.30"东）</w:t>
                  </w:r>
                </w:p>
              </w:tc>
              <w:tc>
                <w:tcPr>
                  <w:tcW w:w="2350" w:type="dxa"/>
                  <w:vAlign w:val="center"/>
                </w:tcPr>
                <w:p>
                  <w:pPr>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东北，1520m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51" w:type="dxa"/>
                  <w:vAlign w:val="center"/>
                </w:tcPr>
                <w:p>
                  <w:pPr>
                    <w:spacing w:line="240" w:lineRule="auto"/>
                    <w:ind w:firstLine="0" w:firstLineChars="0"/>
                    <w:jc w:val="center"/>
                    <w:rPr>
                      <w:color w:val="auto"/>
                      <w:sz w:val="21"/>
                      <w:szCs w:val="21"/>
                    </w:rPr>
                  </w:pPr>
                  <w:r>
                    <w:rPr>
                      <w:color w:val="auto"/>
                      <w:sz w:val="21"/>
                      <w:szCs w:val="21"/>
                    </w:rPr>
                    <w:t>W3</w:t>
                  </w:r>
                </w:p>
              </w:tc>
              <w:tc>
                <w:tcPr>
                  <w:tcW w:w="1027" w:type="dxa"/>
                  <w:vMerge w:val="continue"/>
                  <w:vAlign w:val="center"/>
                </w:tcPr>
                <w:p>
                  <w:pPr>
                    <w:spacing w:line="240" w:lineRule="auto"/>
                    <w:ind w:firstLine="0" w:firstLineChars="0"/>
                    <w:jc w:val="center"/>
                    <w:rPr>
                      <w:color w:val="auto"/>
                      <w:sz w:val="21"/>
                      <w:szCs w:val="21"/>
                    </w:rPr>
                  </w:pPr>
                </w:p>
              </w:tc>
              <w:tc>
                <w:tcPr>
                  <w:tcW w:w="4191" w:type="dxa"/>
                  <w:vAlign w:val="center"/>
                </w:tcPr>
                <w:p>
                  <w:pPr>
                    <w:spacing w:line="240" w:lineRule="auto"/>
                    <w:ind w:firstLine="0" w:firstLineChars="0"/>
                    <w:jc w:val="center"/>
                    <w:rPr>
                      <w:rFonts w:hint="eastAsia"/>
                      <w:color w:val="auto"/>
                      <w:sz w:val="21"/>
                      <w:szCs w:val="21"/>
                      <w:lang w:eastAsia="zh-CN"/>
                    </w:rPr>
                  </w:pPr>
                  <w:r>
                    <w:rPr>
                      <w:rFonts w:hint="eastAsia"/>
                      <w:color w:val="auto"/>
                      <w:sz w:val="21"/>
                      <w:szCs w:val="21"/>
                      <w:lang w:eastAsia="zh-CN"/>
                    </w:rPr>
                    <w:t>西江镇区北侧附近</w:t>
                  </w:r>
                </w:p>
                <w:p>
                  <w:pPr>
                    <w:spacing w:line="240" w:lineRule="auto"/>
                    <w:ind w:firstLine="0" w:firstLineChars="0"/>
                    <w:jc w:val="center"/>
                    <w:rPr>
                      <w:rFonts w:hint="eastAsia"/>
                      <w:color w:val="auto"/>
                      <w:sz w:val="21"/>
                      <w:szCs w:val="21"/>
                      <w:lang w:eastAsia="zh-CN"/>
                    </w:rPr>
                  </w:pPr>
                  <w:r>
                    <w:rPr>
                      <w:rFonts w:hint="eastAsia"/>
                      <w:color w:val="auto"/>
                      <w:sz w:val="21"/>
                      <w:szCs w:val="21"/>
                      <w:lang w:eastAsia="zh-CN"/>
                    </w:rPr>
                    <w:t>（</w:t>
                  </w:r>
                  <w:r>
                    <w:rPr>
                      <w:rFonts w:hint="eastAsia"/>
                      <w:color w:val="auto"/>
                      <w:sz w:val="21"/>
                      <w:szCs w:val="21"/>
                    </w:rPr>
                    <w:t>24°46'4.01"北</w:t>
                  </w:r>
                  <w:r>
                    <w:rPr>
                      <w:rFonts w:hint="eastAsia"/>
                      <w:color w:val="auto"/>
                      <w:sz w:val="21"/>
                      <w:szCs w:val="21"/>
                      <w:lang w:eastAsia="zh-CN"/>
                    </w:rPr>
                    <w:t>，112°36'12.94"东）</w:t>
                  </w:r>
                </w:p>
              </w:tc>
              <w:tc>
                <w:tcPr>
                  <w:tcW w:w="2350" w:type="dxa"/>
                  <w:vAlign w:val="center"/>
                </w:tcPr>
                <w:p>
                  <w:pPr>
                    <w:spacing w:line="240" w:lineRule="auto"/>
                    <w:ind w:firstLine="0" w:firstLineChars="0"/>
                    <w:jc w:val="center"/>
                    <w:rPr>
                      <w:rFonts w:hint="default"/>
                      <w:color w:val="auto"/>
                      <w:sz w:val="21"/>
                      <w:szCs w:val="21"/>
                      <w:lang w:val="en-US" w:eastAsia="zh-CN"/>
                    </w:rPr>
                  </w:pPr>
                  <w:r>
                    <w:rPr>
                      <w:rFonts w:hint="eastAsia"/>
                      <w:color w:val="auto"/>
                      <w:sz w:val="21"/>
                      <w:szCs w:val="21"/>
                      <w:lang w:eastAsia="zh-CN"/>
                    </w:rPr>
                    <w:t>东北，</w:t>
                  </w:r>
                  <w:r>
                    <w:rPr>
                      <w:rFonts w:hint="eastAsia"/>
                      <w:color w:val="auto"/>
                      <w:sz w:val="21"/>
                      <w:szCs w:val="21"/>
                      <w:lang w:val="en-US" w:eastAsia="zh-CN"/>
                    </w:rPr>
                    <w:t>1740m</w:t>
                  </w:r>
                </w:p>
              </w:tc>
            </w:tr>
          </w:tbl>
          <w:p>
            <w:pPr>
              <w:widowControl w:val="0"/>
              <w:spacing w:line="360" w:lineRule="auto"/>
              <w:jc w:val="center"/>
              <w:rPr>
                <w:b/>
                <w:bCs/>
                <w:color w:val="auto"/>
              </w:rPr>
            </w:pPr>
            <w:r>
              <w:rPr>
                <w:b/>
                <w:bCs/>
                <w:color w:val="auto"/>
              </w:rPr>
              <w:t>表</w:t>
            </w:r>
            <w:r>
              <w:rPr>
                <w:rFonts w:hint="eastAsia"/>
                <w:b/>
                <w:bCs/>
                <w:color w:val="auto"/>
                <w:lang w:val="en-US" w:eastAsia="zh-CN"/>
              </w:rPr>
              <w:t xml:space="preserve">3-3 </w:t>
            </w:r>
            <w:r>
              <w:rPr>
                <w:b/>
                <w:bCs/>
                <w:color w:val="auto"/>
              </w:rPr>
              <w:t xml:space="preserve"> 水质现状监测结果统计表</w:t>
            </w:r>
          </w:p>
          <w:tbl>
            <w:tblPr>
              <w:tblStyle w:val="39"/>
              <w:tblW w:w="8519"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46"/>
              <w:gridCol w:w="763"/>
              <w:gridCol w:w="726"/>
              <w:gridCol w:w="697"/>
              <w:gridCol w:w="696"/>
              <w:gridCol w:w="697"/>
              <w:gridCol w:w="697"/>
              <w:gridCol w:w="697"/>
              <w:gridCol w:w="696"/>
              <w:gridCol w:w="558"/>
              <w:gridCol w:w="697"/>
              <w:gridCol w:w="64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restart"/>
                  <w:shd w:val="clear" w:color="auto" w:fill="auto"/>
                  <w:vAlign w:val="center"/>
                </w:tcPr>
                <w:p>
                  <w:pPr>
                    <w:spacing w:line="240" w:lineRule="auto"/>
                    <w:ind w:firstLine="0" w:firstLineChars="0"/>
                    <w:jc w:val="center"/>
                    <w:rPr>
                      <w:color w:val="auto"/>
                      <w:sz w:val="21"/>
                      <w:szCs w:val="21"/>
                    </w:rPr>
                  </w:pPr>
                  <w:r>
                    <w:rPr>
                      <w:color w:val="auto"/>
                      <w:sz w:val="21"/>
                      <w:szCs w:val="21"/>
                    </w:rPr>
                    <w:t>日期</w:t>
                  </w:r>
                </w:p>
              </w:tc>
              <w:tc>
                <w:tcPr>
                  <w:tcW w:w="763" w:type="dxa"/>
                  <w:vMerge w:val="restart"/>
                  <w:shd w:val="clear" w:color="auto" w:fill="auto"/>
                  <w:vAlign w:val="center"/>
                </w:tcPr>
                <w:p>
                  <w:pPr>
                    <w:spacing w:line="240" w:lineRule="auto"/>
                    <w:ind w:firstLine="0" w:firstLineChars="0"/>
                    <w:jc w:val="center"/>
                    <w:rPr>
                      <w:color w:val="auto"/>
                      <w:sz w:val="21"/>
                      <w:szCs w:val="21"/>
                    </w:rPr>
                  </w:pPr>
                  <w:r>
                    <w:rPr>
                      <w:color w:val="auto"/>
                      <w:sz w:val="21"/>
                      <w:szCs w:val="21"/>
                    </w:rPr>
                    <w:t>监测点名称</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水温</w:t>
                  </w:r>
                </w:p>
              </w:tc>
              <w:tc>
                <w:tcPr>
                  <w:tcW w:w="697"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pH</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CODCr</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BOD5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DO</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氨氮</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总磷</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SS</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LAS</w:t>
                  </w:r>
                </w:p>
              </w:tc>
              <w:tc>
                <w:tcPr>
                  <w:tcW w:w="649" w:type="dxa"/>
                  <w:vAlign w:val="center"/>
                </w:tcPr>
                <w:p>
                  <w:pPr>
                    <w:spacing w:line="240" w:lineRule="auto"/>
                    <w:ind w:firstLine="0" w:firstLineChars="0"/>
                    <w:jc w:val="center"/>
                    <w:rPr>
                      <w:color w:val="auto"/>
                      <w:sz w:val="21"/>
                      <w:szCs w:val="21"/>
                    </w:rPr>
                  </w:pPr>
                  <w:r>
                    <w:rPr>
                      <w:color w:val="auto"/>
                      <w:sz w:val="21"/>
                      <w:szCs w:val="21"/>
                    </w:rPr>
                    <w:t>挥发酚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vMerge w:val="continue"/>
                  <w:shd w:val="clear" w:color="auto" w:fill="auto"/>
                  <w:vAlign w:val="center"/>
                </w:tcPr>
                <w:p>
                  <w:pPr>
                    <w:spacing w:line="240" w:lineRule="auto"/>
                    <w:ind w:firstLine="0" w:firstLineChars="0"/>
                    <w:jc w:val="center"/>
                    <w:rPr>
                      <w:color w:val="auto"/>
                      <w:sz w:val="21"/>
                      <w:szCs w:val="21"/>
                    </w:rPr>
                  </w:pPr>
                </w:p>
              </w:tc>
              <w:tc>
                <w:tcPr>
                  <w:tcW w:w="726"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°C</w:t>
                  </w:r>
                </w:p>
              </w:tc>
              <w:tc>
                <w:tcPr>
                  <w:tcW w:w="6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无量纲</w:t>
                  </w:r>
                </w:p>
              </w:tc>
              <w:tc>
                <w:tcPr>
                  <w:tcW w:w="696"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6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6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6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696"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558"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6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mg/L</w:t>
                  </w:r>
                </w:p>
              </w:tc>
              <w:tc>
                <w:tcPr>
                  <w:tcW w:w="649" w:type="dxa"/>
                  <w:vAlign w:val="center"/>
                </w:tcPr>
                <w:p>
                  <w:pPr>
                    <w:adjustRightInd/>
                    <w:snapToGrid/>
                    <w:spacing w:line="240" w:lineRule="auto"/>
                    <w:ind w:firstLine="0" w:firstLineChars="0"/>
                    <w:jc w:val="center"/>
                    <w:rPr>
                      <w:color w:val="auto"/>
                      <w:sz w:val="21"/>
                      <w:szCs w:val="21"/>
                    </w:rPr>
                  </w:pPr>
                  <w:r>
                    <w:rPr>
                      <w:color w:val="auto"/>
                      <w:sz w:val="21"/>
                      <w:szCs w:val="21"/>
                    </w:rPr>
                    <w:t>mg/L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restart"/>
                  <w:shd w:val="clear" w:color="auto" w:fill="auto"/>
                  <w:vAlign w:val="center"/>
                </w:tcPr>
                <w:p>
                  <w:pPr>
                    <w:spacing w:line="240" w:lineRule="auto"/>
                    <w:ind w:firstLine="0" w:firstLineChars="0"/>
                    <w:jc w:val="center"/>
                    <w:rPr>
                      <w:color w:val="auto"/>
                      <w:sz w:val="21"/>
                      <w:szCs w:val="21"/>
                    </w:rPr>
                  </w:pPr>
                  <w:r>
                    <w:rPr>
                      <w:color w:val="auto"/>
                      <w:sz w:val="21"/>
                      <w:szCs w:val="21"/>
                    </w:rPr>
                    <w:t>9.25</w:t>
                  </w: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W1</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6.78</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12</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2.1</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0.169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0.07</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17</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W2</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20.8</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6.83</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2.9</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0.234</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0.09</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24</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W3</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21</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6.89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0.246</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0.06</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20</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restart"/>
                  <w:shd w:val="clear" w:color="auto" w:fill="auto"/>
                  <w:vAlign w:val="center"/>
                </w:tcPr>
                <w:p>
                  <w:pPr>
                    <w:spacing w:line="240" w:lineRule="auto"/>
                    <w:ind w:firstLine="0" w:firstLineChars="0"/>
                    <w:jc w:val="center"/>
                    <w:rPr>
                      <w:color w:val="auto"/>
                      <w:sz w:val="21"/>
                      <w:szCs w:val="21"/>
                    </w:rPr>
                  </w:pPr>
                  <w:r>
                    <w:rPr>
                      <w:color w:val="auto"/>
                      <w:sz w:val="21"/>
                      <w:szCs w:val="21"/>
                    </w:rPr>
                    <w:t>9.26</w:t>
                  </w: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W1</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20.4</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6.81</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6.4</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0.189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0.05</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18</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W2</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20.8</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6.79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17</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3.1</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6.2</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0.247</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0.07</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25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W3</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6.84</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14</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0.268</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0.06</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19</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restart"/>
                  <w:shd w:val="clear" w:color="auto" w:fill="auto"/>
                  <w:vAlign w:val="center"/>
                </w:tcPr>
                <w:p>
                  <w:pPr>
                    <w:spacing w:line="240" w:lineRule="auto"/>
                    <w:ind w:firstLine="0" w:firstLineChars="0"/>
                    <w:jc w:val="center"/>
                    <w:rPr>
                      <w:color w:val="auto"/>
                      <w:sz w:val="21"/>
                      <w:szCs w:val="21"/>
                    </w:rPr>
                  </w:pPr>
                  <w:r>
                    <w:rPr>
                      <w:color w:val="auto"/>
                      <w:sz w:val="21"/>
                      <w:szCs w:val="21"/>
                    </w:rPr>
                    <w:t>9.27</w:t>
                  </w: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W1</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20.2</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6.75</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6.4</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0.174</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0.06</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18</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W2</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20.9</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6.82</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18</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3.2</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6.1</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0.229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0.07</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26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vMerge w:val="continue"/>
                  <w:shd w:val="clear" w:color="auto" w:fill="auto"/>
                  <w:vAlign w:val="center"/>
                </w:tcPr>
                <w:p>
                  <w:pPr>
                    <w:spacing w:line="240" w:lineRule="auto"/>
                    <w:ind w:firstLine="0" w:firstLineChars="0"/>
                    <w:jc w:val="center"/>
                    <w:rPr>
                      <w:color w:val="auto"/>
                      <w:sz w:val="21"/>
                      <w:szCs w:val="21"/>
                    </w:rPr>
                  </w:pPr>
                </w:p>
              </w:tc>
              <w:tc>
                <w:tcPr>
                  <w:tcW w:w="763"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W3</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20.7</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6.79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2.5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0.254</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0.07</w:t>
                  </w:r>
                </w:p>
              </w:tc>
              <w:tc>
                <w:tcPr>
                  <w:tcW w:w="558" w:type="dxa"/>
                  <w:shd w:val="clear" w:color="auto" w:fill="auto"/>
                  <w:vAlign w:val="center"/>
                </w:tcPr>
                <w:p>
                  <w:pPr>
                    <w:spacing w:line="240" w:lineRule="auto"/>
                    <w:ind w:firstLine="0" w:firstLineChars="0"/>
                    <w:jc w:val="center"/>
                    <w:rPr>
                      <w:color w:val="auto"/>
                      <w:sz w:val="21"/>
                      <w:szCs w:val="21"/>
                    </w:rPr>
                  </w:pPr>
                  <w:r>
                    <w:rPr>
                      <w:color w:val="auto"/>
                      <w:sz w:val="21"/>
                      <w:szCs w:val="21"/>
                    </w:rPr>
                    <w:t>22</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ND</w:t>
                  </w:r>
                </w:p>
              </w:tc>
              <w:tc>
                <w:tcPr>
                  <w:tcW w:w="649" w:type="dxa"/>
                  <w:vAlign w:val="center"/>
                </w:tcPr>
                <w:p>
                  <w:pPr>
                    <w:spacing w:line="240" w:lineRule="auto"/>
                    <w:ind w:firstLine="0" w:firstLineChars="0"/>
                    <w:jc w:val="center"/>
                    <w:rPr>
                      <w:color w:val="auto"/>
                      <w:sz w:val="21"/>
                      <w:szCs w:val="21"/>
                    </w:rPr>
                  </w:pPr>
                  <w:r>
                    <w:rPr>
                      <w:color w:val="auto"/>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46"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标准值</w:t>
                  </w:r>
                </w:p>
              </w:tc>
              <w:tc>
                <w:tcPr>
                  <w:tcW w:w="763"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726" w:type="dxa"/>
                  <w:shd w:val="clear" w:color="auto" w:fill="auto"/>
                  <w:vAlign w:val="center"/>
                </w:tcPr>
                <w:p>
                  <w:pPr>
                    <w:spacing w:line="240" w:lineRule="auto"/>
                    <w:ind w:firstLine="0" w:firstLineChars="0"/>
                    <w:jc w:val="center"/>
                    <w:rPr>
                      <w:color w:val="auto"/>
                      <w:sz w:val="21"/>
                      <w:szCs w:val="21"/>
                    </w:rPr>
                  </w:pPr>
                  <w:r>
                    <w:rPr>
                      <w:color w:val="auto"/>
                      <w:sz w:val="21"/>
                      <w:szCs w:val="21"/>
                    </w:rPr>
                    <w:t>/</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6～9</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≤15</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≤3</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≥6</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≤0.5</w:t>
                  </w:r>
                </w:p>
              </w:tc>
              <w:tc>
                <w:tcPr>
                  <w:tcW w:w="696" w:type="dxa"/>
                  <w:shd w:val="clear" w:color="auto" w:fill="auto"/>
                  <w:vAlign w:val="center"/>
                </w:tcPr>
                <w:p>
                  <w:pPr>
                    <w:spacing w:line="240" w:lineRule="auto"/>
                    <w:ind w:firstLine="0" w:firstLineChars="0"/>
                    <w:jc w:val="center"/>
                    <w:rPr>
                      <w:color w:val="auto"/>
                      <w:sz w:val="21"/>
                      <w:szCs w:val="21"/>
                    </w:rPr>
                  </w:pPr>
                  <w:r>
                    <w:rPr>
                      <w:color w:val="auto"/>
                      <w:sz w:val="21"/>
                      <w:szCs w:val="21"/>
                    </w:rPr>
                    <w:t>≤0.1</w:t>
                  </w:r>
                </w:p>
              </w:tc>
              <w:tc>
                <w:tcPr>
                  <w:tcW w:w="558" w:type="dxa"/>
                  <w:shd w:val="clear" w:color="auto" w:fill="auto"/>
                  <w:vAlign w:val="center"/>
                </w:tcPr>
                <w:p>
                  <w:pPr>
                    <w:spacing w:line="240" w:lineRule="auto"/>
                    <w:ind w:firstLine="0" w:firstLineChars="0"/>
                    <w:jc w:val="center"/>
                    <w:rPr>
                      <w:rFonts w:hint="eastAsia"/>
                      <w:color w:val="auto"/>
                      <w:sz w:val="21"/>
                      <w:szCs w:val="21"/>
                      <w:lang w:eastAsia="zh-CN"/>
                    </w:rPr>
                  </w:pPr>
                  <w:r>
                    <w:rPr>
                      <w:rFonts w:hint="eastAsia"/>
                      <w:color w:val="auto"/>
                      <w:sz w:val="21"/>
                      <w:szCs w:val="21"/>
                      <w:lang w:val="en-US" w:eastAsia="zh-CN"/>
                    </w:rPr>
                    <w:t>/</w:t>
                  </w:r>
                </w:p>
              </w:tc>
              <w:tc>
                <w:tcPr>
                  <w:tcW w:w="697" w:type="dxa"/>
                  <w:shd w:val="clear" w:color="auto" w:fill="auto"/>
                  <w:vAlign w:val="center"/>
                </w:tcPr>
                <w:p>
                  <w:pPr>
                    <w:spacing w:line="240" w:lineRule="auto"/>
                    <w:ind w:firstLine="0" w:firstLineChars="0"/>
                    <w:jc w:val="center"/>
                    <w:rPr>
                      <w:color w:val="auto"/>
                      <w:sz w:val="21"/>
                      <w:szCs w:val="21"/>
                    </w:rPr>
                  </w:pPr>
                  <w:r>
                    <w:rPr>
                      <w:color w:val="auto"/>
                      <w:sz w:val="21"/>
                      <w:szCs w:val="21"/>
                    </w:rPr>
                    <w:t>≤0.2</w:t>
                  </w:r>
                </w:p>
              </w:tc>
              <w:tc>
                <w:tcPr>
                  <w:tcW w:w="649" w:type="dxa"/>
                  <w:vAlign w:val="center"/>
                </w:tcPr>
                <w:p>
                  <w:pPr>
                    <w:spacing w:line="240" w:lineRule="auto"/>
                    <w:ind w:firstLine="0" w:firstLineChars="0"/>
                    <w:jc w:val="center"/>
                    <w:rPr>
                      <w:color w:val="auto"/>
                      <w:sz w:val="21"/>
                      <w:szCs w:val="21"/>
                    </w:rPr>
                  </w:pPr>
                  <w:r>
                    <w:rPr>
                      <w:color w:val="auto"/>
                      <w:sz w:val="21"/>
                      <w:szCs w:val="21"/>
                    </w:rPr>
                    <w:t>≤0.002</w:t>
                  </w:r>
                </w:p>
              </w:tc>
            </w:tr>
          </w:tbl>
          <w:p>
            <w:pPr>
              <w:widowControl w:val="0"/>
              <w:spacing w:line="360" w:lineRule="auto"/>
              <w:jc w:val="center"/>
              <w:rPr>
                <w:b/>
                <w:bCs/>
                <w:color w:val="auto"/>
              </w:rPr>
            </w:pPr>
            <w:r>
              <w:rPr>
                <w:b/>
                <w:bCs/>
                <w:color w:val="auto"/>
              </w:rPr>
              <w:t>表</w:t>
            </w:r>
            <w:r>
              <w:rPr>
                <w:rFonts w:hint="eastAsia"/>
                <w:b/>
                <w:bCs/>
                <w:color w:val="auto"/>
                <w:lang w:val="en-US" w:eastAsia="zh-CN"/>
              </w:rPr>
              <w:t xml:space="preserve">3-4 </w:t>
            </w:r>
            <w:r>
              <w:rPr>
                <w:b/>
                <w:bCs/>
                <w:color w:val="auto"/>
              </w:rPr>
              <w:t xml:space="preserve"> 水质现状评价结果(Si值)一览表</w:t>
            </w:r>
          </w:p>
          <w:tbl>
            <w:tblPr>
              <w:tblStyle w:val="39"/>
              <w:tblW w:w="852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59"/>
              <w:gridCol w:w="791"/>
              <w:gridCol w:w="604"/>
              <w:gridCol w:w="797"/>
              <w:gridCol w:w="797"/>
              <w:gridCol w:w="627"/>
              <w:gridCol w:w="700"/>
              <w:gridCol w:w="806"/>
              <w:gridCol w:w="737"/>
              <w:gridCol w:w="869"/>
              <w:gridCol w:w="83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日期</w:t>
                  </w:r>
                </w:p>
              </w:tc>
              <w:tc>
                <w:tcPr>
                  <w:tcW w:w="791"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监测点名称</w:t>
                  </w:r>
                </w:p>
              </w:tc>
              <w:tc>
                <w:tcPr>
                  <w:tcW w:w="604"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pH</w:t>
                  </w:r>
                </w:p>
              </w:tc>
              <w:tc>
                <w:tcPr>
                  <w:tcW w:w="7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CODCr</w:t>
                  </w:r>
                </w:p>
              </w:tc>
              <w:tc>
                <w:tcPr>
                  <w:tcW w:w="79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BOD5</w:t>
                  </w:r>
                </w:p>
              </w:tc>
              <w:tc>
                <w:tcPr>
                  <w:tcW w:w="627"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DO</w:t>
                  </w:r>
                </w:p>
              </w:tc>
              <w:tc>
                <w:tcPr>
                  <w:tcW w:w="700"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氨氮</w:t>
                  </w:r>
                </w:p>
              </w:tc>
              <w:tc>
                <w:tcPr>
                  <w:tcW w:w="806"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总磷</w:t>
                  </w:r>
                </w:p>
              </w:tc>
              <w:tc>
                <w:tcPr>
                  <w:tcW w:w="737" w:type="dxa"/>
                  <w:vAlign w:val="center"/>
                </w:tcPr>
                <w:p>
                  <w:pPr>
                    <w:adjustRightInd/>
                    <w:snapToGrid/>
                    <w:spacing w:line="240" w:lineRule="auto"/>
                    <w:ind w:firstLine="0" w:firstLineChars="0"/>
                    <w:jc w:val="center"/>
                    <w:rPr>
                      <w:color w:val="auto"/>
                      <w:sz w:val="21"/>
                      <w:szCs w:val="21"/>
                    </w:rPr>
                  </w:pPr>
                  <w:r>
                    <w:rPr>
                      <w:color w:val="auto"/>
                      <w:sz w:val="21"/>
                      <w:szCs w:val="21"/>
                    </w:rPr>
                    <w:t>SS</w:t>
                  </w:r>
                </w:p>
              </w:tc>
              <w:tc>
                <w:tcPr>
                  <w:tcW w:w="869" w:type="dxa"/>
                  <w:shd w:val="clear" w:color="auto" w:fill="auto"/>
                  <w:vAlign w:val="center"/>
                </w:tcPr>
                <w:p>
                  <w:pPr>
                    <w:adjustRightInd/>
                    <w:snapToGrid/>
                    <w:spacing w:line="240" w:lineRule="auto"/>
                    <w:ind w:firstLine="0" w:firstLineChars="0"/>
                    <w:jc w:val="center"/>
                    <w:rPr>
                      <w:color w:val="auto"/>
                      <w:sz w:val="21"/>
                      <w:szCs w:val="21"/>
                    </w:rPr>
                  </w:pPr>
                  <w:r>
                    <w:rPr>
                      <w:color w:val="auto"/>
                      <w:sz w:val="21"/>
                      <w:szCs w:val="21"/>
                    </w:rPr>
                    <w:t>LAS</w:t>
                  </w:r>
                </w:p>
              </w:tc>
              <w:tc>
                <w:tcPr>
                  <w:tcW w:w="836" w:type="dxa"/>
                  <w:vAlign w:val="center"/>
                </w:tcPr>
                <w:p>
                  <w:pPr>
                    <w:adjustRightInd/>
                    <w:snapToGrid/>
                    <w:spacing w:line="240" w:lineRule="auto"/>
                    <w:ind w:firstLine="0" w:firstLineChars="0"/>
                    <w:jc w:val="center"/>
                    <w:rPr>
                      <w:color w:val="auto"/>
                      <w:sz w:val="21"/>
                      <w:szCs w:val="21"/>
                    </w:rPr>
                  </w:pPr>
                  <w:r>
                    <w:rPr>
                      <w:color w:val="auto"/>
                      <w:sz w:val="21"/>
                      <w:szCs w:val="21"/>
                    </w:rPr>
                    <w:t>挥发酚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restart"/>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9.25</w:t>
                  </w: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W1</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0.22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0.80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0.70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0.34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continue"/>
                  <w:shd w:val="clear" w:color="auto" w:fill="auto"/>
                  <w:vAlign w:val="center"/>
                </w:tcPr>
                <w:p>
                  <w:pPr>
                    <w:widowControl w:val="0"/>
                    <w:adjustRightInd/>
                    <w:snapToGrid/>
                    <w:spacing w:line="240" w:lineRule="auto"/>
                    <w:ind w:firstLine="0" w:firstLineChars="0"/>
                    <w:jc w:val="center"/>
                    <w:rPr>
                      <w:color w:val="auto"/>
                      <w:sz w:val="21"/>
                      <w:szCs w:val="21"/>
                    </w:rPr>
                  </w:pP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W2</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0.17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1.07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0.97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0.47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0.90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continue"/>
                  <w:shd w:val="clear" w:color="auto" w:fill="auto"/>
                  <w:vAlign w:val="center"/>
                </w:tcPr>
                <w:p>
                  <w:pPr>
                    <w:widowControl w:val="0"/>
                    <w:adjustRightInd/>
                    <w:snapToGrid/>
                    <w:spacing w:line="240" w:lineRule="auto"/>
                    <w:ind w:firstLine="0" w:firstLineChars="0"/>
                    <w:jc w:val="center"/>
                    <w:rPr>
                      <w:color w:val="auto"/>
                      <w:sz w:val="21"/>
                      <w:szCs w:val="21"/>
                    </w:rPr>
                  </w:pP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W3</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0.11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1.00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0.87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0.49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restart"/>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9.26</w:t>
                  </w: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W1</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0.19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0.87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0.77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0.38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0.50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continue"/>
                  <w:shd w:val="clear" w:color="auto" w:fill="auto"/>
                  <w:vAlign w:val="center"/>
                </w:tcPr>
                <w:p>
                  <w:pPr>
                    <w:widowControl w:val="0"/>
                    <w:adjustRightInd/>
                    <w:snapToGrid/>
                    <w:spacing w:line="240" w:lineRule="auto"/>
                    <w:ind w:firstLine="0" w:firstLineChars="0"/>
                    <w:jc w:val="center"/>
                    <w:rPr>
                      <w:color w:val="auto"/>
                      <w:sz w:val="21"/>
                      <w:szCs w:val="21"/>
                    </w:rPr>
                  </w:pP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W2</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0.21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1.13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1.03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0.49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continue"/>
                  <w:shd w:val="clear" w:color="auto" w:fill="auto"/>
                  <w:vAlign w:val="center"/>
                </w:tcPr>
                <w:p>
                  <w:pPr>
                    <w:widowControl w:val="0"/>
                    <w:adjustRightInd/>
                    <w:snapToGrid/>
                    <w:spacing w:line="240" w:lineRule="auto"/>
                    <w:ind w:firstLine="0" w:firstLineChars="0"/>
                    <w:jc w:val="center"/>
                    <w:rPr>
                      <w:color w:val="auto"/>
                      <w:sz w:val="21"/>
                      <w:szCs w:val="21"/>
                    </w:rPr>
                  </w:pP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W3</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0.16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0.93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0.87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0.54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restart"/>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9.27</w:t>
                  </w: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W1</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0.25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0.87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0.77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0.66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0.35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continue"/>
                  <w:shd w:val="clear" w:color="auto" w:fill="auto"/>
                  <w:vAlign w:val="center"/>
                </w:tcPr>
                <w:p>
                  <w:pPr>
                    <w:widowControl w:val="0"/>
                    <w:adjustRightInd/>
                    <w:snapToGrid/>
                    <w:spacing w:line="240" w:lineRule="auto"/>
                    <w:ind w:firstLine="0" w:firstLineChars="0"/>
                    <w:jc w:val="center"/>
                    <w:rPr>
                      <w:color w:val="auto"/>
                      <w:sz w:val="21"/>
                      <w:szCs w:val="21"/>
                    </w:rPr>
                  </w:pP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W2</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0.18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1.20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1.07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0.46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959" w:type="dxa"/>
                  <w:vMerge w:val="continue"/>
                  <w:shd w:val="clear" w:color="auto" w:fill="auto"/>
                  <w:vAlign w:val="center"/>
                </w:tcPr>
                <w:p>
                  <w:pPr>
                    <w:widowControl w:val="0"/>
                    <w:adjustRightInd/>
                    <w:snapToGrid/>
                    <w:spacing w:line="240" w:lineRule="auto"/>
                    <w:ind w:firstLine="0" w:firstLineChars="0"/>
                    <w:jc w:val="center"/>
                    <w:rPr>
                      <w:color w:val="auto"/>
                      <w:sz w:val="21"/>
                      <w:szCs w:val="21"/>
                    </w:rPr>
                  </w:pPr>
                </w:p>
              </w:tc>
              <w:tc>
                <w:tcPr>
                  <w:tcW w:w="791" w:type="dxa"/>
                  <w:shd w:val="clear" w:color="auto" w:fill="auto"/>
                  <w:vAlign w:val="center"/>
                </w:tcPr>
                <w:p>
                  <w:pPr>
                    <w:widowControl w:val="0"/>
                    <w:adjustRightInd/>
                    <w:snapToGrid/>
                    <w:spacing w:line="240" w:lineRule="auto"/>
                    <w:ind w:firstLine="0" w:firstLineChars="0"/>
                    <w:jc w:val="center"/>
                    <w:rPr>
                      <w:color w:val="auto"/>
                      <w:sz w:val="21"/>
                      <w:szCs w:val="21"/>
                    </w:rPr>
                  </w:pPr>
                  <w:r>
                    <w:rPr>
                      <w:color w:val="auto"/>
                      <w:sz w:val="21"/>
                      <w:szCs w:val="21"/>
                    </w:rPr>
                    <w:t>W3</w:t>
                  </w:r>
                </w:p>
              </w:tc>
              <w:tc>
                <w:tcPr>
                  <w:tcW w:w="604"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0.21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1.07 </w:t>
                  </w:r>
                </w:p>
              </w:tc>
              <w:tc>
                <w:tcPr>
                  <w:tcW w:w="79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0.83 </w:t>
                  </w:r>
                </w:p>
              </w:tc>
              <w:tc>
                <w:tcPr>
                  <w:tcW w:w="627"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0.67 </w:t>
                  </w:r>
                </w:p>
              </w:tc>
              <w:tc>
                <w:tcPr>
                  <w:tcW w:w="700"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0.51 </w:t>
                  </w:r>
                </w:p>
              </w:tc>
              <w:tc>
                <w:tcPr>
                  <w:tcW w:w="806" w:type="dxa"/>
                  <w:shd w:val="clear" w:color="auto" w:fill="auto"/>
                  <w:vAlign w:val="center"/>
                </w:tcPr>
                <w:p>
                  <w:pPr>
                    <w:widowControl w:val="0"/>
                    <w:adjustRightInd/>
                    <w:snapToGrid/>
                    <w:spacing w:line="240" w:lineRule="auto"/>
                    <w:ind w:firstLine="0" w:firstLineChars="0"/>
                    <w:jc w:val="center"/>
                    <w:rPr>
                      <w:color w:val="auto"/>
                      <w:sz w:val="21"/>
                      <w:szCs w:val="21"/>
                    </w:rPr>
                  </w:pPr>
                  <w:r>
                    <w:rPr>
                      <w:rFonts w:hint="eastAsia"/>
                      <w:color w:val="auto"/>
                      <w:sz w:val="21"/>
                      <w:szCs w:val="21"/>
                    </w:rPr>
                    <w:t xml:space="preserve">0.70 </w:t>
                  </w:r>
                </w:p>
              </w:tc>
              <w:tc>
                <w:tcPr>
                  <w:tcW w:w="737" w:type="dxa"/>
                  <w:vAlign w:val="center"/>
                </w:tcPr>
                <w:p>
                  <w:pPr>
                    <w:widowControl w:val="0"/>
                    <w:adjustRightInd/>
                    <w:snapToGrid/>
                    <w:spacing w:line="240" w:lineRule="auto"/>
                    <w:ind w:firstLine="0" w:firstLineChars="0"/>
                    <w:jc w:val="center"/>
                    <w:rPr>
                      <w:color w:val="auto"/>
                      <w:sz w:val="21"/>
                      <w:szCs w:val="21"/>
                    </w:rPr>
                  </w:pPr>
                  <w:r>
                    <w:rPr>
                      <w:color w:val="auto"/>
                      <w:sz w:val="21"/>
                      <w:szCs w:val="21"/>
                    </w:rPr>
                    <w:t>/</w:t>
                  </w:r>
                </w:p>
              </w:tc>
              <w:tc>
                <w:tcPr>
                  <w:tcW w:w="869" w:type="dxa"/>
                  <w:shd w:val="clear" w:color="auto" w:fill="auto"/>
                  <w:vAlign w:val="center"/>
                </w:tcPr>
                <w:p>
                  <w:pPr>
                    <w:widowControl w:val="0"/>
                    <w:spacing w:line="240" w:lineRule="auto"/>
                    <w:ind w:firstLine="0" w:firstLineChars="0"/>
                    <w:jc w:val="center"/>
                    <w:rPr>
                      <w:color w:val="auto"/>
                      <w:sz w:val="21"/>
                      <w:szCs w:val="21"/>
                    </w:rPr>
                  </w:pPr>
                  <w:r>
                    <w:rPr>
                      <w:color w:val="auto"/>
                      <w:sz w:val="21"/>
                      <w:szCs w:val="21"/>
                    </w:rPr>
                    <w:t>/</w:t>
                  </w:r>
                </w:p>
              </w:tc>
              <w:tc>
                <w:tcPr>
                  <w:tcW w:w="836" w:type="dxa"/>
                  <w:vAlign w:val="center"/>
                </w:tcPr>
                <w:p>
                  <w:pPr>
                    <w:spacing w:line="240" w:lineRule="auto"/>
                    <w:ind w:firstLine="0" w:firstLineChars="0"/>
                    <w:jc w:val="center"/>
                    <w:rPr>
                      <w:color w:val="auto"/>
                      <w:sz w:val="21"/>
                      <w:szCs w:val="21"/>
                    </w:rPr>
                  </w:pPr>
                  <w:r>
                    <w:rPr>
                      <w:color w:val="auto"/>
                      <w:sz w:val="21"/>
                      <w:szCs w:val="21"/>
                    </w:rPr>
                    <w:t>/</w:t>
                  </w:r>
                </w:p>
              </w:tc>
            </w:tr>
          </w:tbl>
          <w:p>
            <w:pPr>
              <w:ind w:firstLine="480"/>
              <w:rPr>
                <w:rFonts w:hint="eastAsia"/>
                <w:color w:val="auto"/>
              </w:rPr>
            </w:pPr>
            <w:r>
              <w:rPr>
                <w:color w:val="auto"/>
              </w:rPr>
              <w:t>从上监测结果可见，</w:t>
            </w:r>
            <w:r>
              <w:rPr>
                <w:rFonts w:hint="eastAsia"/>
                <w:color w:val="auto"/>
              </w:rPr>
              <w:t>监测期间</w:t>
            </w:r>
            <w:r>
              <w:rPr>
                <w:color w:val="auto"/>
              </w:rPr>
              <w:t>西江水</w:t>
            </w:r>
            <w:r>
              <w:rPr>
                <w:rFonts w:hint="eastAsia"/>
                <w:color w:val="auto"/>
              </w:rPr>
              <w:t>W3监测断面COD</w:t>
            </w:r>
            <w:r>
              <w:rPr>
                <w:color w:val="auto"/>
              </w:rPr>
              <w:t>cr和</w:t>
            </w:r>
            <w:r>
              <w:rPr>
                <w:rFonts w:hint="eastAsia"/>
                <w:color w:val="auto"/>
              </w:rPr>
              <w:t>W</w:t>
            </w:r>
            <w:r>
              <w:rPr>
                <w:color w:val="auto"/>
              </w:rPr>
              <w:t>2监测断面</w:t>
            </w:r>
            <w:r>
              <w:rPr>
                <w:rFonts w:hint="eastAsia"/>
                <w:color w:val="auto"/>
              </w:rPr>
              <w:t>COD</w:t>
            </w:r>
            <w:r>
              <w:rPr>
                <w:color w:val="auto"/>
              </w:rPr>
              <w:t>cr</w:t>
            </w:r>
            <w:r>
              <w:rPr>
                <w:rFonts w:hint="eastAsia"/>
                <w:color w:val="auto"/>
              </w:rPr>
              <w:t>、BOD5均超过《地表水环境质量标准》</w:t>
            </w:r>
            <w:r>
              <w:rPr>
                <w:color w:val="auto"/>
              </w:rPr>
              <w:t xml:space="preserve">(GB3838-2002) </w:t>
            </w:r>
            <w:r>
              <w:rPr>
                <w:rFonts w:hint="eastAsia"/>
                <w:color w:val="auto"/>
              </w:rPr>
              <w:t>Ⅱ</w:t>
            </w:r>
            <w:r>
              <w:rPr>
                <w:color w:val="auto"/>
              </w:rPr>
              <w:t>类水质标准要求，</w:t>
            </w:r>
            <w:r>
              <w:rPr>
                <w:rFonts w:hint="eastAsia"/>
                <w:color w:val="auto"/>
              </w:rPr>
              <w:t>其余各个监测因子均能达标，</w:t>
            </w:r>
            <w:r>
              <w:rPr>
                <w:color w:val="auto"/>
              </w:rPr>
              <w:t>说明</w:t>
            </w:r>
            <w:r>
              <w:rPr>
                <w:rFonts w:hint="eastAsia"/>
                <w:color w:val="auto"/>
              </w:rPr>
              <w:t>西江水</w:t>
            </w:r>
            <w:r>
              <w:rPr>
                <w:color w:val="auto"/>
              </w:rPr>
              <w:t>水环境质量现状较差。</w:t>
            </w:r>
            <w:r>
              <w:rPr>
                <w:rFonts w:hint="eastAsia"/>
                <w:color w:val="auto"/>
              </w:rPr>
              <w:t>经现场勘查，造成</w:t>
            </w:r>
            <w:r>
              <w:rPr>
                <w:color w:val="auto"/>
              </w:rPr>
              <w:t>W2、W3断面水质超标的主要原因是由于</w:t>
            </w:r>
            <w:r>
              <w:rPr>
                <w:rFonts w:hint="eastAsia"/>
                <w:color w:val="auto"/>
              </w:rPr>
              <w:t>区域的市政污水管网尚未完善，</w:t>
            </w:r>
            <w:r>
              <w:rPr>
                <w:color w:val="auto"/>
              </w:rPr>
              <w:t>导致</w:t>
            </w:r>
            <w:r>
              <w:rPr>
                <w:rFonts w:hint="eastAsia"/>
                <w:color w:val="auto"/>
              </w:rPr>
              <w:t>两岸</w:t>
            </w:r>
            <w:r>
              <w:rPr>
                <w:color w:val="auto"/>
              </w:rPr>
              <w:t>周边的村庄生活污水未收集直接排入</w:t>
            </w:r>
            <w:r>
              <w:rPr>
                <w:rFonts w:hint="eastAsia"/>
                <w:color w:val="auto"/>
              </w:rPr>
              <w:t>河流</w:t>
            </w:r>
            <w:r>
              <w:rPr>
                <w:color w:val="auto"/>
              </w:rPr>
              <w:t>引起这部分污染物浓度超标</w:t>
            </w:r>
            <w:r>
              <w:rPr>
                <w:rFonts w:hint="eastAsia"/>
                <w:color w:val="auto"/>
              </w:rPr>
              <w:t>。</w:t>
            </w:r>
          </w:p>
          <w:p>
            <w:pPr>
              <w:pStyle w:val="2"/>
              <w:keepNext w:val="0"/>
              <w:keepLines w:val="0"/>
              <w:pageBreakBefore w:val="0"/>
              <w:widowControl w:val="0"/>
              <w:numPr>
                <w:ilvl w:val="0"/>
                <w:numId w:val="4"/>
              </w:numPr>
              <w:kinsoku/>
              <w:wordWrap/>
              <w:overflowPunct/>
              <w:topLinePunct w:val="0"/>
              <w:autoSpaceDE w:val="0"/>
              <w:autoSpaceDN w:val="0"/>
              <w:bidi w:val="0"/>
              <w:adjustRightInd w:val="0"/>
              <w:snapToGrid/>
              <w:spacing w:line="360" w:lineRule="auto"/>
              <w:ind w:firstLine="480" w:firstLineChars="200"/>
              <w:textAlignment w:val="auto"/>
              <w:rPr>
                <w:rFonts w:hint="eastAsia"/>
                <w:color w:val="auto"/>
                <w:lang w:eastAsia="zh-CN"/>
              </w:rPr>
            </w:pPr>
            <w:r>
              <w:rPr>
                <w:rFonts w:hint="eastAsia"/>
                <w:color w:val="auto"/>
                <w:lang w:eastAsia="zh-CN"/>
              </w:rPr>
              <w:t>八一水库水环境</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olor w:val="auto"/>
              </w:rPr>
            </w:pPr>
            <w:r>
              <w:rPr>
                <w:rFonts w:hint="eastAsia"/>
                <w:color w:val="auto"/>
                <w:lang w:eastAsia="zh-CN"/>
              </w:rPr>
              <w:t>经检索</w:t>
            </w:r>
            <w:r>
              <w:rPr>
                <w:rFonts w:hint="eastAsia"/>
                <w:color w:val="auto"/>
              </w:rPr>
              <w:t>《广东省地表水环境功能区划》</w:t>
            </w:r>
            <w:r>
              <w:rPr>
                <w:rFonts w:hint="eastAsia"/>
                <w:color w:val="auto"/>
                <w:lang w:eastAsia="zh-CN"/>
              </w:rPr>
              <w:t>可知</w:t>
            </w:r>
            <w:r>
              <w:rPr>
                <w:rFonts w:hint="eastAsia"/>
                <w:color w:val="auto"/>
              </w:rPr>
              <w:t>，</w:t>
            </w:r>
            <w:r>
              <w:rPr>
                <w:rFonts w:hint="eastAsia"/>
                <w:color w:val="auto"/>
                <w:lang w:eastAsia="zh-CN"/>
              </w:rPr>
              <w:t>八一</w:t>
            </w:r>
            <w:r>
              <w:rPr>
                <w:rFonts w:hint="eastAsia"/>
                <w:color w:val="auto"/>
              </w:rPr>
              <w:t>水库暂无水域功能和水质目标规划，且</w:t>
            </w:r>
            <w:r>
              <w:rPr>
                <w:rFonts w:hint="eastAsia"/>
                <w:color w:val="auto"/>
                <w:lang w:eastAsia="zh-CN"/>
              </w:rPr>
              <w:t>八一</w:t>
            </w:r>
            <w:r>
              <w:rPr>
                <w:rFonts w:hint="eastAsia"/>
                <w:color w:val="auto"/>
              </w:rPr>
              <w:t>水库不</w:t>
            </w:r>
            <w:r>
              <w:rPr>
                <w:rFonts w:hint="eastAsia"/>
                <w:color w:val="auto"/>
                <w:lang w:eastAsia="zh-CN"/>
              </w:rPr>
              <w:t>属于集中式饮用水源保护区</w:t>
            </w:r>
            <w:r>
              <w:rPr>
                <w:rFonts w:hint="eastAsia"/>
                <w:color w:val="auto"/>
              </w:rPr>
              <w:t>。为了解</w:t>
            </w:r>
            <w:r>
              <w:rPr>
                <w:rFonts w:hint="eastAsia"/>
                <w:color w:val="auto"/>
                <w:lang w:eastAsia="zh-CN"/>
              </w:rPr>
              <w:t>八一</w:t>
            </w:r>
            <w:r>
              <w:rPr>
                <w:rFonts w:hint="eastAsia"/>
                <w:color w:val="auto"/>
              </w:rPr>
              <w:t>水库的水质状况，项目引用连州市疾病预防控制中心委托广州京诚检测技术有限公司于2020.05.22对</w:t>
            </w:r>
            <w:r>
              <w:rPr>
                <w:rFonts w:hint="eastAsia"/>
                <w:color w:val="auto"/>
                <w:lang w:eastAsia="zh-CN"/>
              </w:rPr>
              <w:t>八一</w:t>
            </w:r>
            <w:r>
              <w:rPr>
                <w:rFonts w:hint="eastAsia"/>
                <w:color w:val="auto"/>
              </w:rPr>
              <w:t>水库进行监测的监测数据，详见下表。</w:t>
            </w:r>
          </w:p>
          <w:p>
            <w:pPr>
              <w:pStyle w:val="56"/>
              <w:rPr>
                <w:color w:val="auto"/>
              </w:rPr>
            </w:pPr>
            <w:r>
              <w:rPr>
                <w:rFonts w:hint="eastAsia"/>
                <w:color w:val="auto"/>
              </w:rPr>
              <w:t>表</w:t>
            </w:r>
            <w:r>
              <w:rPr>
                <w:rFonts w:hint="eastAsia"/>
                <w:color w:val="auto"/>
                <w:lang w:val="en-US" w:eastAsia="zh-CN"/>
              </w:rPr>
              <w:t>3-5</w:t>
            </w:r>
            <w:r>
              <w:rPr>
                <w:rFonts w:hint="eastAsia"/>
                <w:color w:val="auto"/>
              </w:rPr>
              <w:t xml:space="preserve">  </w:t>
            </w:r>
            <w:r>
              <w:rPr>
                <w:rFonts w:hint="eastAsia"/>
                <w:color w:val="auto"/>
                <w:lang w:eastAsia="zh-CN"/>
              </w:rPr>
              <w:t>八一</w:t>
            </w:r>
            <w:r>
              <w:rPr>
                <w:rFonts w:hint="eastAsia"/>
                <w:color w:val="auto"/>
              </w:rPr>
              <w:t>水库监测一览表</w:t>
            </w:r>
          </w:p>
          <w:tbl>
            <w:tblPr>
              <w:tblStyle w:val="39"/>
              <w:tblW w:w="8521"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694"/>
              <w:gridCol w:w="1280"/>
              <w:gridCol w:w="1848"/>
              <w:gridCol w:w="996"/>
              <w:gridCol w:w="1564"/>
              <w:gridCol w:w="2139"/>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color w:val="auto"/>
                    </w:rPr>
                    <w:t>序号</w:t>
                  </w:r>
                </w:p>
              </w:tc>
              <w:tc>
                <w:tcPr>
                  <w:tcW w:w="1280" w:type="dxa"/>
                  <w:vAlign w:val="center"/>
                </w:tcPr>
                <w:p>
                  <w:pPr>
                    <w:pStyle w:val="57"/>
                    <w:rPr>
                      <w:color w:val="auto"/>
                    </w:rPr>
                  </w:pPr>
                  <w:r>
                    <w:rPr>
                      <w:color w:val="auto"/>
                    </w:rPr>
                    <w:t>监测点位</w:t>
                  </w:r>
                </w:p>
              </w:tc>
              <w:tc>
                <w:tcPr>
                  <w:tcW w:w="1848" w:type="dxa"/>
                  <w:vAlign w:val="center"/>
                </w:tcPr>
                <w:p>
                  <w:pPr>
                    <w:pStyle w:val="57"/>
                    <w:rPr>
                      <w:color w:val="auto"/>
                    </w:rPr>
                  </w:pPr>
                  <w:r>
                    <w:rPr>
                      <w:rFonts w:hint="eastAsia"/>
                      <w:color w:val="auto"/>
                    </w:rPr>
                    <w:t>检测因子</w:t>
                  </w:r>
                </w:p>
              </w:tc>
              <w:tc>
                <w:tcPr>
                  <w:tcW w:w="996" w:type="dxa"/>
                  <w:vAlign w:val="center"/>
                </w:tcPr>
                <w:p>
                  <w:pPr>
                    <w:pStyle w:val="57"/>
                    <w:rPr>
                      <w:color w:val="auto"/>
                    </w:rPr>
                  </w:pPr>
                  <w:r>
                    <w:rPr>
                      <w:rFonts w:hint="eastAsia"/>
                      <w:color w:val="auto"/>
                    </w:rPr>
                    <w:t>单位</w:t>
                  </w:r>
                </w:p>
              </w:tc>
              <w:tc>
                <w:tcPr>
                  <w:tcW w:w="1564" w:type="dxa"/>
                  <w:vAlign w:val="center"/>
                </w:tcPr>
                <w:p>
                  <w:pPr>
                    <w:pStyle w:val="57"/>
                    <w:rPr>
                      <w:color w:val="auto"/>
                    </w:rPr>
                  </w:pPr>
                  <w:r>
                    <w:rPr>
                      <w:rFonts w:hint="eastAsia"/>
                      <w:color w:val="auto"/>
                    </w:rPr>
                    <w:t>检测结果</w:t>
                  </w:r>
                </w:p>
              </w:tc>
              <w:tc>
                <w:tcPr>
                  <w:tcW w:w="2139" w:type="dxa"/>
                  <w:vAlign w:val="center"/>
                </w:tcPr>
                <w:p>
                  <w:pPr>
                    <w:pStyle w:val="57"/>
                    <w:rPr>
                      <w:color w:val="auto"/>
                    </w:rPr>
                  </w:pPr>
                  <w:r>
                    <w:rPr>
                      <w:rFonts w:hint="eastAsia"/>
                      <w:color w:val="auto"/>
                    </w:rPr>
                    <w:t>GB3838-2002 III类</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w:t>
                  </w:r>
                </w:p>
              </w:tc>
              <w:tc>
                <w:tcPr>
                  <w:tcW w:w="1280" w:type="dxa"/>
                  <w:vMerge w:val="restart"/>
                  <w:vAlign w:val="center"/>
                </w:tcPr>
                <w:p>
                  <w:pPr>
                    <w:pStyle w:val="57"/>
                    <w:rPr>
                      <w:color w:val="auto"/>
                    </w:rPr>
                  </w:pPr>
                  <w:r>
                    <w:rPr>
                      <w:rFonts w:hint="eastAsia"/>
                      <w:color w:val="auto"/>
                      <w:lang w:eastAsia="zh-CN"/>
                    </w:rPr>
                    <w:t>八一</w:t>
                  </w:r>
                  <w:r>
                    <w:rPr>
                      <w:rFonts w:hint="eastAsia"/>
                      <w:color w:val="auto"/>
                    </w:rPr>
                    <w:t>水库</w:t>
                  </w:r>
                </w:p>
              </w:tc>
              <w:tc>
                <w:tcPr>
                  <w:tcW w:w="1848" w:type="dxa"/>
                  <w:vAlign w:val="center"/>
                </w:tcPr>
                <w:p>
                  <w:pPr>
                    <w:pStyle w:val="57"/>
                    <w:rPr>
                      <w:color w:val="auto"/>
                    </w:rPr>
                  </w:pPr>
                  <w:r>
                    <w:rPr>
                      <w:rFonts w:hint="eastAsia"/>
                      <w:color w:val="auto"/>
                    </w:rPr>
                    <w:t>水温</w:t>
                  </w:r>
                </w:p>
              </w:tc>
              <w:tc>
                <w:tcPr>
                  <w:tcW w:w="996" w:type="dxa"/>
                  <w:vAlign w:val="center"/>
                </w:tcPr>
                <w:p>
                  <w:pPr>
                    <w:pStyle w:val="57"/>
                    <w:rPr>
                      <w:color w:val="auto"/>
                    </w:rPr>
                  </w:pPr>
                  <w:r>
                    <w:rPr>
                      <w:rFonts w:hint="eastAsia"/>
                      <w:color w:val="auto"/>
                    </w:rPr>
                    <w:t>℃</w:t>
                  </w:r>
                </w:p>
              </w:tc>
              <w:tc>
                <w:tcPr>
                  <w:tcW w:w="1564" w:type="dxa"/>
                  <w:vAlign w:val="center"/>
                </w:tcPr>
                <w:p>
                  <w:pPr>
                    <w:pStyle w:val="57"/>
                    <w:rPr>
                      <w:rFonts w:hint="default"/>
                      <w:color w:val="auto"/>
                      <w:lang w:val="en-US" w:eastAsia="zh-CN"/>
                    </w:rPr>
                  </w:pPr>
                  <w:r>
                    <w:rPr>
                      <w:rFonts w:hint="eastAsia"/>
                      <w:color w:val="auto"/>
                      <w:lang w:val="en-US" w:eastAsia="zh-CN"/>
                    </w:rPr>
                    <w:t>17.4</w:t>
                  </w:r>
                </w:p>
              </w:tc>
              <w:tc>
                <w:tcPr>
                  <w:tcW w:w="2139" w:type="dxa"/>
                  <w:vAlign w:val="center"/>
                </w:tcPr>
                <w:p>
                  <w:pPr>
                    <w:pStyle w:val="57"/>
                    <w:rPr>
                      <w:color w:val="auto"/>
                    </w:rPr>
                  </w:pPr>
                  <w:r>
                    <w:rPr>
                      <w:rFonts w:hint="eastAsia"/>
                      <w:color w:val="auto"/>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pH值</w:t>
                  </w:r>
                </w:p>
              </w:tc>
              <w:tc>
                <w:tcPr>
                  <w:tcW w:w="996" w:type="dxa"/>
                  <w:vAlign w:val="center"/>
                </w:tcPr>
                <w:p>
                  <w:pPr>
                    <w:pStyle w:val="57"/>
                    <w:rPr>
                      <w:color w:val="auto"/>
                    </w:rPr>
                  </w:pPr>
                  <w:r>
                    <w:rPr>
                      <w:rFonts w:hint="eastAsia"/>
                      <w:color w:val="auto"/>
                    </w:rPr>
                    <w:t>无量纲</w:t>
                  </w:r>
                </w:p>
              </w:tc>
              <w:tc>
                <w:tcPr>
                  <w:tcW w:w="1564" w:type="dxa"/>
                  <w:vAlign w:val="center"/>
                </w:tcPr>
                <w:p>
                  <w:pPr>
                    <w:pStyle w:val="57"/>
                    <w:rPr>
                      <w:rFonts w:hint="default"/>
                      <w:color w:val="auto"/>
                      <w:lang w:val="en-US" w:eastAsia="zh-CN"/>
                    </w:rPr>
                  </w:pPr>
                  <w:r>
                    <w:rPr>
                      <w:rFonts w:hint="eastAsia"/>
                      <w:color w:val="auto"/>
                    </w:rPr>
                    <w:t>7.</w:t>
                  </w:r>
                  <w:r>
                    <w:rPr>
                      <w:rFonts w:hint="eastAsia"/>
                      <w:color w:val="auto"/>
                      <w:lang w:val="en-US" w:eastAsia="zh-CN"/>
                    </w:rPr>
                    <w:t>81</w:t>
                  </w:r>
                </w:p>
              </w:tc>
              <w:tc>
                <w:tcPr>
                  <w:tcW w:w="2139" w:type="dxa"/>
                  <w:vAlign w:val="center"/>
                </w:tcPr>
                <w:p>
                  <w:pPr>
                    <w:pStyle w:val="57"/>
                    <w:rPr>
                      <w:color w:val="auto"/>
                    </w:rPr>
                  </w:pPr>
                  <w:r>
                    <w:rPr>
                      <w:rFonts w:hint="eastAsia"/>
                      <w:color w:val="auto"/>
                    </w:rPr>
                    <w:t>6~9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3</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溶解氧</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8.9</w:t>
                  </w:r>
                </w:p>
              </w:tc>
              <w:tc>
                <w:tcPr>
                  <w:tcW w:w="2139" w:type="dxa"/>
                  <w:vAlign w:val="center"/>
                </w:tcPr>
                <w:p>
                  <w:pPr>
                    <w:pStyle w:val="57"/>
                    <w:rPr>
                      <w:color w:val="auto"/>
                    </w:rPr>
                  </w:pPr>
                  <w:r>
                    <w:rPr>
                      <w:rFonts w:hint="eastAsia"/>
                      <w:color w:val="auto"/>
                    </w:rPr>
                    <w:t>≥5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4</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粪大肠菌群</w:t>
                  </w:r>
                </w:p>
              </w:tc>
              <w:tc>
                <w:tcPr>
                  <w:tcW w:w="996" w:type="dxa"/>
                  <w:vAlign w:val="center"/>
                </w:tcPr>
                <w:p>
                  <w:pPr>
                    <w:pStyle w:val="57"/>
                    <w:rPr>
                      <w:color w:val="auto"/>
                    </w:rPr>
                  </w:pPr>
                  <w:r>
                    <w:rPr>
                      <w:rFonts w:hint="eastAsia"/>
                      <w:color w:val="auto"/>
                    </w:rPr>
                    <w:t>CFU/L</w:t>
                  </w:r>
                </w:p>
              </w:tc>
              <w:tc>
                <w:tcPr>
                  <w:tcW w:w="1564" w:type="dxa"/>
                  <w:vAlign w:val="center"/>
                </w:tcPr>
                <w:p>
                  <w:pPr>
                    <w:pStyle w:val="57"/>
                    <w:rPr>
                      <w:rFonts w:hint="eastAsia"/>
                      <w:color w:val="auto"/>
                      <w:lang w:eastAsia="zh-CN"/>
                    </w:rPr>
                  </w:pPr>
                  <w:r>
                    <w:rPr>
                      <w:rFonts w:hint="eastAsia"/>
                      <w:color w:val="auto"/>
                      <w:lang w:val="en-US" w:eastAsia="zh-CN"/>
                    </w:rPr>
                    <w:t>7.9</w:t>
                  </w:r>
                  <w:r>
                    <w:rPr>
                      <w:color w:val="auto"/>
                    </w:rPr>
                    <w:t>×</w:t>
                  </w:r>
                  <w:r>
                    <w:rPr>
                      <w:rFonts w:hint="eastAsia"/>
                      <w:color w:val="auto"/>
                    </w:rPr>
                    <w:t>10</w:t>
                  </w:r>
                  <w:r>
                    <w:rPr>
                      <w:rFonts w:hint="eastAsia"/>
                      <w:color w:val="auto"/>
                      <w:lang w:val="en-US" w:eastAsia="zh-CN"/>
                    </w:rPr>
                    <w:t>2</w:t>
                  </w:r>
                </w:p>
              </w:tc>
              <w:tc>
                <w:tcPr>
                  <w:tcW w:w="2139" w:type="dxa"/>
                  <w:vAlign w:val="center"/>
                </w:tcPr>
                <w:p>
                  <w:pPr>
                    <w:pStyle w:val="57"/>
                    <w:rPr>
                      <w:color w:val="auto"/>
                    </w:rPr>
                  </w:pPr>
                  <w:r>
                    <w:rPr>
                      <w:rFonts w:hint="eastAsia"/>
                      <w:color w:val="auto"/>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5</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氨氮</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eastAsia"/>
                      <w:color w:val="auto"/>
                      <w:lang w:eastAsia="zh-CN"/>
                    </w:rPr>
                  </w:pPr>
                  <w:r>
                    <w:rPr>
                      <w:rFonts w:hint="eastAsia"/>
                      <w:color w:val="auto"/>
                    </w:rPr>
                    <w:t>0.0</w:t>
                  </w:r>
                  <w:r>
                    <w:rPr>
                      <w:rFonts w:hint="eastAsia"/>
                      <w:color w:val="auto"/>
                      <w:lang w:val="en-US" w:eastAsia="zh-CN"/>
                    </w:rPr>
                    <w:t>8</w:t>
                  </w:r>
                </w:p>
              </w:tc>
              <w:tc>
                <w:tcPr>
                  <w:tcW w:w="2139" w:type="dxa"/>
                  <w:vAlign w:val="center"/>
                </w:tcPr>
                <w:p>
                  <w:pPr>
                    <w:pStyle w:val="57"/>
                    <w:rPr>
                      <w:color w:val="auto"/>
                    </w:rPr>
                  </w:pPr>
                  <w:r>
                    <w:rPr>
                      <w:rFonts w:hint="eastAsia"/>
                      <w:color w:val="auto"/>
                    </w:rPr>
                    <w:t>≤1.0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6</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氟化物</w:t>
                  </w:r>
                </w:p>
              </w:tc>
              <w:tc>
                <w:tcPr>
                  <w:tcW w:w="996" w:type="dxa"/>
                  <w:vAlign w:val="center"/>
                </w:tcPr>
                <w:p>
                  <w:pPr>
                    <w:pStyle w:val="57"/>
                    <w:rPr>
                      <w:color w:val="auto"/>
                    </w:rPr>
                  </w:pPr>
                  <w:r>
                    <w:rPr>
                      <w:rFonts w:hint="eastAsia"/>
                      <w:color w:val="auto"/>
                    </w:rPr>
                    <w:t>mg/L</w:t>
                  </w:r>
                </w:p>
              </w:tc>
              <w:tc>
                <w:tcPr>
                  <w:tcW w:w="1564" w:type="dxa"/>
                  <w:vAlign w:val="center"/>
                </w:tcPr>
                <w:p>
                  <w:pPr>
                    <w:pStyle w:val="57"/>
                    <w:rPr>
                      <w:color w:val="auto"/>
                    </w:rPr>
                  </w:pPr>
                  <w:r>
                    <w:rPr>
                      <w:rFonts w:hint="eastAsia"/>
                      <w:color w:val="auto"/>
                    </w:rPr>
                    <w:t>0.2L</w:t>
                  </w:r>
                </w:p>
              </w:tc>
              <w:tc>
                <w:tcPr>
                  <w:tcW w:w="2139" w:type="dxa"/>
                  <w:vAlign w:val="center"/>
                </w:tcPr>
                <w:p>
                  <w:pPr>
                    <w:pStyle w:val="57"/>
                    <w:rPr>
                      <w:color w:val="auto"/>
                    </w:rPr>
                  </w:pPr>
                  <w:r>
                    <w:rPr>
                      <w:rFonts w:hint="eastAsia"/>
                      <w:color w:val="auto"/>
                    </w:rPr>
                    <w:t>≤1.0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7</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高锰酸盐指数</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0.6</w:t>
                  </w:r>
                </w:p>
              </w:tc>
              <w:tc>
                <w:tcPr>
                  <w:tcW w:w="2139" w:type="dxa"/>
                  <w:vAlign w:val="center"/>
                </w:tcPr>
                <w:p>
                  <w:pPr>
                    <w:pStyle w:val="57"/>
                    <w:rPr>
                      <w:color w:val="auto"/>
                    </w:rPr>
                  </w:pPr>
                  <w:r>
                    <w:rPr>
                      <w:rFonts w:hint="eastAsia"/>
                      <w:color w:val="auto"/>
                    </w:rPr>
                    <w:t>≤6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8</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化学需氧量</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10</w:t>
                  </w:r>
                </w:p>
              </w:tc>
              <w:tc>
                <w:tcPr>
                  <w:tcW w:w="2139" w:type="dxa"/>
                  <w:vAlign w:val="center"/>
                </w:tcPr>
                <w:p>
                  <w:pPr>
                    <w:pStyle w:val="57"/>
                    <w:rPr>
                      <w:color w:val="auto"/>
                    </w:rPr>
                  </w:pPr>
                  <w:r>
                    <w:rPr>
                      <w:rFonts w:hint="eastAsia"/>
                      <w:color w:val="auto"/>
                    </w:rPr>
                    <w:t>≤20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9</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五日生化需氧量</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1.6</w:t>
                  </w:r>
                </w:p>
              </w:tc>
              <w:tc>
                <w:tcPr>
                  <w:tcW w:w="2139" w:type="dxa"/>
                  <w:vAlign w:val="center"/>
                </w:tcPr>
                <w:p>
                  <w:pPr>
                    <w:pStyle w:val="57"/>
                    <w:rPr>
                      <w:color w:val="auto"/>
                    </w:rPr>
                  </w:pPr>
                  <w:r>
                    <w:rPr>
                      <w:rFonts w:hint="eastAsia"/>
                      <w:color w:val="auto"/>
                    </w:rPr>
                    <w:t>≤4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10</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挥发酚</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0.002L</w:t>
                  </w:r>
                </w:p>
              </w:tc>
              <w:tc>
                <w:tcPr>
                  <w:tcW w:w="2139" w:type="dxa"/>
                  <w:vAlign w:val="center"/>
                </w:tcPr>
                <w:p>
                  <w:pPr>
                    <w:pStyle w:val="57"/>
                    <w:rPr>
                      <w:color w:val="auto"/>
                    </w:rPr>
                  </w:pPr>
                  <w:r>
                    <w:rPr>
                      <w:rFonts w:hint="eastAsia"/>
                      <w:color w:val="auto"/>
                    </w:rPr>
                    <w:t>≤0.005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11</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硫化物</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0.02L</w:t>
                  </w:r>
                </w:p>
              </w:tc>
              <w:tc>
                <w:tcPr>
                  <w:tcW w:w="2139" w:type="dxa"/>
                  <w:vAlign w:val="center"/>
                </w:tcPr>
                <w:p>
                  <w:pPr>
                    <w:pStyle w:val="57"/>
                    <w:rPr>
                      <w:color w:val="auto"/>
                    </w:rPr>
                  </w:pPr>
                  <w:r>
                    <w:rPr>
                      <w:rFonts w:hint="eastAsia"/>
                      <w:color w:val="auto"/>
                    </w:rPr>
                    <w:t>≤0.2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硫酸盐</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8.45</w:t>
                  </w:r>
                </w:p>
              </w:tc>
              <w:tc>
                <w:tcPr>
                  <w:tcW w:w="2139" w:type="dxa"/>
                  <w:vAlign w:val="center"/>
                </w:tcPr>
                <w:p>
                  <w:pPr>
                    <w:pStyle w:val="57"/>
                    <w:rPr>
                      <w:color w:val="auto"/>
                    </w:rPr>
                  </w:pPr>
                  <w:r>
                    <w:rPr>
                      <w:rFonts w:hint="eastAsia"/>
                      <w:color w:val="auto"/>
                    </w:rPr>
                    <w:t>≤250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13</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六价铬</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0.004L</w:t>
                  </w:r>
                </w:p>
              </w:tc>
              <w:tc>
                <w:tcPr>
                  <w:tcW w:w="2139" w:type="dxa"/>
                  <w:vAlign w:val="center"/>
                </w:tcPr>
                <w:p>
                  <w:pPr>
                    <w:pStyle w:val="57"/>
                    <w:rPr>
                      <w:color w:val="auto"/>
                    </w:rPr>
                  </w:pPr>
                  <w:r>
                    <w:rPr>
                      <w:rFonts w:hint="eastAsia"/>
                      <w:color w:val="auto"/>
                    </w:rPr>
                    <w:t>≤0.05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14</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氯化物</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1.2</w:t>
                  </w:r>
                </w:p>
              </w:tc>
              <w:tc>
                <w:tcPr>
                  <w:tcW w:w="2139" w:type="dxa"/>
                  <w:vAlign w:val="center"/>
                </w:tcPr>
                <w:p>
                  <w:pPr>
                    <w:pStyle w:val="57"/>
                    <w:rPr>
                      <w:color w:val="auto"/>
                    </w:rPr>
                  </w:pPr>
                  <w:r>
                    <w:rPr>
                      <w:rFonts w:hint="eastAsia"/>
                      <w:color w:val="auto"/>
                    </w:rPr>
                    <w:t>≤250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15</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氰化物</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0.002L</w:t>
                  </w:r>
                </w:p>
              </w:tc>
              <w:tc>
                <w:tcPr>
                  <w:tcW w:w="2139" w:type="dxa"/>
                  <w:vAlign w:val="center"/>
                </w:tcPr>
                <w:p>
                  <w:pPr>
                    <w:pStyle w:val="57"/>
                    <w:rPr>
                      <w:color w:val="auto"/>
                    </w:rPr>
                  </w:pPr>
                  <w:r>
                    <w:rPr>
                      <w:rFonts w:hint="eastAsia"/>
                      <w:color w:val="auto"/>
                    </w:rPr>
                    <w:t>≤0.2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16</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硝酸盐氮</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0.6</w:t>
                  </w:r>
                </w:p>
              </w:tc>
              <w:tc>
                <w:tcPr>
                  <w:tcW w:w="2139" w:type="dxa"/>
                  <w:vAlign w:val="center"/>
                </w:tcPr>
                <w:p>
                  <w:pPr>
                    <w:pStyle w:val="57"/>
                    <w:rPr>
                      <w:color w:val="auto"/>
                    </w:rPr>
                  </w:pPr>
                  <w:r>
                    <w:rPr>
                      <w:rFonts w:hint="eastAsia"/>
                      <w:color w:val="auto"/>
                    </w:rPr>
                    <w:t>≤10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17</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阴离子表面活性剂</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0.05L</w:t>
                  </w:r>
                </w:p>
              </w:tc>
              <w:tc>
                <w:tcPr>
                  <w:tcW w:w="2139" w:type="dxa"/>
                  <w:vAlign w:val="center"/>
                </w:tcPr>
                <w:p>
                  <w:pPr>
                    <w:pStyle w:val="57"/>
                    <w:rPr>
                      <w:color w:val="auto"/>
                    </w:rPr>
                  </w:pPr>
                  <w:r>
                    <w:rPr>
                      <w:rFonts w:hint="eastAsia"/>
                      <w:color w:val="auto"/>
                    </w:rPr>
                    <w:t>≤0.2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18</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总氮</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1.31</w:t>
                  </w:r>
                </w:p>
              </w:tc>
              <w:tc>
                <w:tcPr>
                  <w:tcW w:w="2139" w:type="dxa"/>
                  <w:vAlign w:val="center"/>
                </w:tcPr>
                <w:p>
                  <w:pPr>
                    <w:pStyle w:val="57"/>
                    <w:rPr>
                      <w:color w:val="auto"/>
                    </w:rPr>
                  </w:pPr>
                  <w:r>
                    <w:rPr>
                      <w:rFonts w:hint="eastAsia"/>
                      <w:color w:val="auto"/>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19</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总磷</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0.02</w:t>
                  </w:r>
                </w:p>
              </w:tc>
              <w:tc>
                <w:tcPr>
                  <w:tcW w:w="2139" w:type="dxa"/>
                  <w:vAlign w:val="center"/>
                </w:tcPr>
                <w:p>
                  <w:pPr>
                    <w:pStyle w:val="57"/>
                    <w:rPr>
                      <w:color w:val="auto"/>
                    </w:rPr>
                  </w:pPr>
                  <w:r>
                    <w:rPr>
                      <w:rFonts w:hint="eastAsia"/>
                      <w:color w:val="auto"/>
                    </w:rPr>
                    <w:t>≤0.2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20</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石油类</w:t>
                  </w:r>
                </w:p>
              </w:tc>
              <w:tc>
                <w:tcPr>
                  <w:tcW w:w="996" w:type="dxa"/>
                  <w:vAlign w:val="center"/>
                </w:tcPr>
                <w:p>
                  <w:pPr>
                    <w:pStyle w:val="57"/>
                    <w:rPr>
                      <w:color w:val="auto"/>
                    </w:rPr>
                  </w:pPr>
                  <w:r>
                    <w:rPr>
                      <w:rFonts w:hint="eastAsia"/>
                      <w:color w:val="auto"/>
                    </w:rPr>
                    <w:t>mg/L</w:t>
                  </w:r>
                </w:p>
              </w:tc>
              <w:tc>
                <w:tcPr>
                  <w:tcW w:w="1564" w:type="dxa"/>
                  <w:vAlign w:val="center"/>
                </w:tcPr>
                <w:p>
                  <w:pPr>
                    <w:pStyle w:val="57"/>
                    <w:rPr>
                      <w:rFonts w:hint="default"/>
                      <w:color w:val="auto"/>
                      <w:lang w:val="en-US" w:eastAsia="zh-CN"/>
                    </w:rPr>
                  </w:pPr>
                  <w:r>
                    <w:rPr>
                      <w:rFonts w:hint="eastAsia"/>
                      <w:color w:val="auto"/>
                      <w:lang w:val="en-US" w:eastAsia="zh-CN"/>
                    </w:rPr>
                    <w:t>0.02</w:t>
                  </w:r>
                </w:p>
              </w:tc>
              <w:tc>
                <w:tcPr>
                  <w:tcW w:w="2139" w:type="dxa"/>
                  <w:vAlign w:val="center"/>
                </w:tcPr>
                <w:p>
                  <w:pPr>
                    <w:pStyle w:val="57"/>
                    <w:rPr>
                      <w:color w:val="auto"/>
                    </w:rPr>
                  </w:pPr>
                  <w:r>
                    <w:rPr>
                      <w:rFonts w:hint="eastAsia"/>
                      <w:color w:val="auto"/>
                    </w:rPr>
                    <w:t>≤0.05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21</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锰</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4.22</w:t>
                  </w:r>
                </w:p>
              </w:tc>
              <w:tc>
                <w:tcPr>
                  <w:tcW w:w="2139" w:type="dxa"/>
                  <w:vAlign w:val="center"/>
                </w:tcPr>
                <w:p>
                  <w:pPr>
                    <w:pStyle w:val="57"/>
                    <w:rPr>
                      <w:color w:val="auto"/>
                    </w:rPr>
                  </w:pPr>
                  <w:r>
                    <w:rPr>
                      <w:rFonts w:hint="eastAsia"/>
                      <w:color w:val="auto"/>
                    </w:rPr>
                    <w:t>≤0.1mg/L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22</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铁</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47.8</w:t>
                  </w:r>
                </w:p>
              </w:tc>
              <w:tc>
                <w:tcPr>
                  <w:tcW w:w="2139" w:type="dxa"/>
                  <w:vAlign w:val="center"/>
                </w:tcPr>
                <w:p>
                  <w:pPr>
                    <w:pStyle w:val="57"/>
                    <w:rPr>
                      <w:color w:val="auto"/>
                    </w:rPr>
                  </w:pPr>
                  <w:r>
                    <w:rPr>
                      <w:rFonts w:hint="eastAsia"/>
                      <w:color w:val="auto"/>
                    </w:rPr>
                    <w:t>≤0.3mg/L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23</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铜</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0.5</w:t>
                  </w:r>
                </w:p>
              </w:tc>
              <w:tc>
                <w:tcPr>
                  <w:tcW w:w="2139" w:type="dxa"/>
                  <w:vAlign w:val="center"/>
                </w:tcPr>
                <w:p>
                  <w:pPr>
                    <w:pStyle w:val="57"/>
                    <w:rPr>
                      <w:color w:val="auto"/>
                    </w:rPr>
                  </w:pPr>
                  <w:r>
                    <w:rPr>
                      <w:rFonts w:hint="eastAsia"/>
                      <w:color w:val="auto"/>
                    </w:rPr>
                    <w:t>≤1.0mg/L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24</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锌</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15.1</w:t>
                  </w:r>
                </w:p>
              </w:tc>
              <w:tc>
                <w:tcPr>
                  <w:tcW w:w="2139" w:type="dxa"/>
                  <w:vAlign w:val="center"/>
                </w:tcPr>
                <w:p>
                  <w:pPr>
                    <w:pStyle w:val="57"/>
                    <w:rPr>
                      <w:color w:val="auto"/>
                    </w:rPr>
                  </w:pPr>
                  <w:r>
                    <w:rPr>
                      <w:rFonts w:hint="eastAsia"/>
                      <w:color w:val="auto"/>
                    </w:rPr>
                    <w:t>≤1.0mg/L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25</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镉</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0.06L</w:t>
                  </w:r>
                </w:p>
              </w:tc>
              <w:tc>
                <w:tcPr>
                  <w:tcW w:w="2139" w:type="dxa"/>
                  <w:vAlign w:val="center"/>
                </w:tcPr>
                <w:p>
                  <w:pPr>
                    <w:pStyle w:val="57"/>
                    <w:rPr>
                      <w:color w:val="auto"/>
                    </w:rPr>
                  </w:pPr>
                  <w:r>
                    <w:rPr>
                      <w:rFonts w:hint="eastAsia"/>
                      <w:color w:val="auto"/>
                    </w:rPr>
                    <w:t>≤0.005mg/L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26</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铅</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0.62</w:t>
                  </w:r>
                </w:p>
              </w:tc>
              <w:tc>
                <w:tcPr>
                  <w:tcW w:w="2139" w:type="dxa"/>
                  <w:vAlign w:val="center"/>
                </w:tcPr>
                <w:p>
                  <w:pPr>
                    <w:pStyle w:val="57"/>
                    <w:rPr>
                      <w:color w:val="auto"/>
                    </w:rPr>
                  </w:pPr>
                  <w:r>
                    <w:rPr>
                      <w:rFonts w:hint="eastAsia"/>
                      <w:color w:val="auto"/>
                    </w:rPr>
                    <w:t>≤0.05mg/L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27</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汞</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0.00005L</w:t>
                  </w:r>
                </w:p>
              </w:tc>
              <w:tc>
                <w:tcPr>
                  <w:tcW w:w="2139" w:type="dxa"/>
                  <w:vAlign w:val="center"/>
                </w:tcPr>
                <w:p>
                  <w:pPr>
                    <w:pStyle w:val="57"/>
                    <w:rPr>
                      <w:color w:val="auto"/>
                    </w:rPr>
                  </w:pPr>
                  <w:r>
                    <w:rPr>
                      <w:rFonts w:hint="eastAsia"/>
                      <w:color w:val="auto"/>
                    </w:rPr>
                    <w:t>≤0.0001mg/L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28</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砷</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0.15</w:t>
                  </w:r>
                </w:p>
              </w:tc>
              <w:tc>
                <w:tcPr>
                  <w:tcW w:w="2139" w:type="dxa"/>
                  <w:vAlign w:val="center"/>
                </w:tcPr>
                <w:p>
                  <w:pPr>
                    <w:pStyle w:val="57"/>
                    <w:rPr>
                      <w:color w:val="auto"/>
                    </w:rPr>
                  </w:pPr>
                  <w:r>
                    <w:rPr>
                      <w:rFonts w:hint="eastAsia"/>
                      <w:color w:val="auto"/>
                    </w:rPr>
                    <w:t>≤0.05mg/L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Align w:val="center"/>
                </w:tcPr>
                <w:p>
                  <w:pPr>
                    <w:pStyle w:val="57"/>
                    <w:rPr>
                      <w:color w:val="auto"/>
                    </w:rPr>
                  </w:pPr>
                  <w:r>
                    <w:rPr>
                      <w:rFonts w:hint="eastAsia"/>
                      <w:color w:val="auto"/>
                    </w:rPr>
                    <w:t>29</w:t>
                  </w:r>
                </w:p>
              </w:tc>
              <w:tc>
                <w:tcPr>
                  <w:tcW w:w="1280" w:type="dxa"/>
                  <w:vMerge w:val="continue"/>
                  <w:vAlign w:val="center"/>
                </w:tcPr>
                <w:p>
                  <w:pPr>
                    <w:pStyle w:val="57"/>
                    <w:rPr>
                      <w:color w:val="auto"/>
                    </w:rPr>
                  </w:pPr>
                </w:p>
              </w:tc>
              <w:tc>
                <w:tcPr>
                  <w:tcW w:w="1848" w:type="dxa"/>
                  <w:vAlign w:val="center"/>
                </w:tcPr>
                <w:p>
                  <w:pPr>
                    <w:pStyle w:val="57"/>
                    <w:rPr>
                      <w:color w:val="auto"/>
                    </w:rPr>
                  </w:pPr>
                  <w:r>
                    <w:rPr>
                      <w:rFonts w:hint="eastAsia"/>
                      <w:color w:val="auto"/>
                    </w:rPr>
                    <w:t>硒</w:t>
                  </w:r>
                </w:p>
              </w:tc>
              <w:tc>
                <w:tcPr>
                  <w:tcW w:w="996" w:type="dxa"/>
                  <w:vAlign w:val="center"/>
                </w:tcPr>
                <w:p>
                  <w:pPr>
                    <w:pStyle w:val="57"/>
                    <w:rPr>
                      <w:color w:val="auto"/>
                    </w:rPr>
                  </w:pPr>
                  <w:r>
                    <w:rPr>
                      <w:rFonts w:hint="eastAsia"/>
                      <w:color w:val="auto"/>
                    </w:rPr>
                    <w:t>μg/L</w:t>
                  </w:r>
                </w:p>
              </w:tc>
              <w:tc>
                <w:tcPr>
                  <w:tcW w:w="1564" w:type="dxa"/>
                  <w:vAlign w:val="center"/>
                </w:tcPr>
                <w:p>
                  <w:pPr>
                    <w:pStyle w:val="57"/>
                    <w:rPr>
                      <w:rFonts w:hint="default"/>
                      <w:color w:val="auto"/>
                      <w:lang w:val="en-US" w:eastAsia="zh-CN"/>
                    </w:rPr>
                  </w:pPr>
                  <w:r>
                    <w:rPr>
                      <w:rFonts w:hint="eastAsia"/>
                      <w:color w:val="auto"/>
                      <w:lang w:val="en-US" w:eastAsia="zh-CN"/>
                    </w:rPr>
                    <w:t>0.09L</w:t>
                  </w:r>
                </w:p>
              </w:tc>
              <w:tc>
                <w:tcPr>
                  <w:tcW w:w="2139" w:type="dxa"/>
                  <w:vAlign w:val="center"/>
                </w:tcPr>
                <w:p>
                  <w:pPr>
                    <w:pStyle w:val="57"/>
                    <w:rPr>
                      <w:color w:val="auto"/>
                    </w:rPr>
                  </w:pPr>
                  <w:r>
                    <w:rPr>
                      <w:rFonts w:hint="eastAsia"/>
                      <w:color w:val="auto"/>
                    </w:rPr>
                    <w:t>≤0.01mg/L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521" w:type="dxa"/>
                  <w:gridSpan w:val="6"/>
                  <w:vAlign w:val="center"/>
                </w:tcPr>
                <w:p>
                  <w:pPr>
                    <w:pStyle w:val="57"/>
                    <w:jc w:val="left"/>
                    <w:rPr>
                      <w:color w:val="auto"/>
                    </w:rPr>
                  </w:pPr>
                  <w:r>
                    <w:rPr>
                      <w:rFonts w:hint="eastAsia"/>
                      <w:color w:val="auto"/>
                    </w:rPr>
                    <w:t>注：当测定结果低于方法检出限是，报所使用方法的检出限值，并加标志位“L”。</w:t>
                  </w:r>
                </w:p>
              </w:tc>
            </w:tr>
          </w:tbl>
          <w:p>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olor w:val="auto"/>
                <w:lang w:eastAsia="zh-CN"/>
              </w:rPr>
            </w:pPr>
            <w:r>
              <w:rPr>
                <w:rFonts w:hint="eastAsia"/>
                <w:color w:val="auto"/>
              </w:rPr>
              <w:t>由上表数据可知，</w:t>
            </w:r>
            <w:r>
              <w:rPr>
                <w:rFonts w:hint="eastAsia"/>
                <w:color w:val="auto"/>
                <w:lang w:eastAsia="zh-CN"/>
              </w:rPr>
              <w:t>八一</w:t>
            </w:r>
            <w:r>
              <w:rPr>
                <w:rFonts w:hint="eastAsia"/>
                <w:color w:val="auto"/>
              </w:rPr>
              <w:t>水库水质各项指标基本达到《地表水环境质量标准》（GB3838-2002）</w:t>
            </w:r>
            <w:r>
              <w:rPr>
                <w:rFonts w:hint="default"/>
                <w:color w:val="auto"/>
              </w:rPr>
              <w:t>Ⅱ</w:t>
            </w:r>
            <w:r>
              <w:rPr>
                <w:rFonts w:hint="eastAsia"/>
                <w:color w:val="auto"/>
              </w:rPr>
              <w:t>类标准，其水质满足饮用水水源的卫生要求，极宜于工业与民用供水。</w:t>
            </w:r>
          </w:p>
          <w:p>
            <w:pPr>
              <w:pStyle w:val="55"/>
              <w:ind w:firstLine="482"/>
              <w:rPr>
                <w:color w:val="auto"/>
              </w:rPr>
            </w:pPr>
            <w:r>
              <w:rPr>
                <w:color w:val="auto"/>
              </w:rPr>
              <w:t>3、声环境质量现状</w:t>
            </w:r>
          </w:p>
          <w:p>
            <w:pPr>
              <w:ind w:firstLine="480"/>
              <w:rPr>
                <w:color w:val="auto"/>
              </w:rPr>
            </w:pPr>
            <w:r>
              <w:rPr>
                <w:rFonts w:hint="eastAsia"/>
                <w:color w:val="auto"/>
              </w:rPr>
              <w:t>根据《连州市环境保护规划》（2014-2025年），工程所在地属声环境2</w:t>
            </w:r>
            <w:r>
              <w:rPr>
                <w:color w:val="auto"/>
              </w:rPr>
              <w:t>类区，为了解</w:t>
            </w:r>
            <w:r>
              <w:rPr>
                <w:rFonts w:hint="eastAsia"/>
                <w:color w:val="auto"/>
              </w:rPr>
              <w:t>工程所在地</w:t>
            </w:r>
            <w:r>
              <w:rPr>
                <w:color w:val="auto"/>
              </w:rPr>
              <w:t>的声环境质量现状，建设单位委托</w:t>
            </w:r>
            <w:r>
              <w:rPr>
                <w:rFonts w:hint="eastAsia"/>
                <w:color w:val="auto"/>
              </w:rPr>
              <w:t>江门中环检测技术有限公司</w:t>
            </w:r>
            <w:r>
              <w:rPr>
                <w:color w:val="auto"/>
              </w:rPr>
              <w:t>于20</w:t>
            </w:r>
            <w:r>
              <w:rPr>
                <w:rFonts w:hint="eastAsia"/>
                <w:color w:val="auto"/>
              </w:rPr>
              <w:t>20</w:t>
            </w:r>
            <w:r>
              <w:rPr>
                <w:color w:val="auto"/>
              </w:rPr>
              <w:t>年</w:t>
            </w:r>
            <w:r>
              <w:rPr>
                <w:rFonts w:hint="eastAsia"/>
                <w:color w:val="auto"/>
                <w:lang w:val="en-US" w:eastAsia="zh-CN"/>
              </w:rPr>
              <w:t>11</w:t>
            </w:r>
            <w:r>
              <w:rPr>
                <w:color w:val="auto"/>
              </w:rPr>
              <w:t>月</w:t>
            </w:r>
            <w:r>
              <w:rPr>
                <w:rFonts w:hint="eastAsia"/>
                <w:color w:val="auto"/>
                <w:lang w:val="en-US" w:eastAsia="zh-CN"/>
              </w:rPr>
              <w:t>10</w:t>
            </w:r>
            <w:r>
              <w:rPr>
                <w:color w:val="auto"/>
              </w:rPr>
              <w:t>日~</w:t>
            </w:r>
            <w:r>
              <w:rPr>
                <w:rFonts w:hint="eastAsia"/>
                <w:color w:val="auto"/>
                <w:lang w:val="en-US" w:eastAsia="zh-CN"/>
              </w:rPr>
              <w:t>11</w:t>
            </w:r>
            <w:r>
              <w:rPr>
                <w:color w:val="auto"/>
              </w:rPr>
              <w:t>日对</w:t>
            </w:r>
            <w:r>
              <w:rPr>
                <w:rFonts w:hint="eastAsia"/>
                <w:color w:val="auto"/>
              </w:rPr>
              <w:t>工程</w:t>
            </w:r>
            <w:r>
              <w:rPr>
                <w:color w:val="auto"/>
              </w:rPr>
              <w:t>厂界四侧进行声环境监测，监测点位见附图</w:t>
            </w:r>
            <w:r>
              <w:rPr>
                <w:rFonts w:hint="eastAsia"/>
                <w:color w:val="auto"/>
              </w:rPr>
              <w:t>3</w:t>
            </w:r>
            <w:r>
              <w:rPr>
                <w:color w:val="auto"/>
              </w:rPr>
              <w:t>，监测结果如下表</w:t>
            </w:r>
            <w:r>
              <w:rPr>
                <w:rFonts w:hint="eastAsia"/>
                <w:color w:val="auto"/>
              </w:rPr>
              <w:t>。</w:t>
            </w:r>
          </w:p>
          <w:p>
            <w:pPr>
              <w:pStyle w:val="56"/>
              <w:rPr>
                <w:color w:val="auto"/>
              </w:rPr>
            </w:pPr>
            <w:r>
              <w:rPr>
                <w:color w:val="auto"/>
              </w:rPr>
              <w:t>表</w:t>
            </w:r>
            <w:r>
              <w:rPr>
                <w:rFonts w:hint="eastAsia"/>
                <w:color w:val="auto"/>
                <w:lang w:val="en-US" w:eastAsia="zh-CN"/>
              </w:rPr>
              <w:t>3-6</w:t>
            </w:r>
            <w:r>
              <w:rPr>
                <w:rFonts w:hint="eastAsia"/>
                <w:color w:val="auto"/>
              </w:rPr>
              <w:t xml:space="preserve">  </w:t>
            </w:r>
            <w:r>
              <w:rPr>
                <w:color w:val="auto"/>
              </w:rPr>
              <w:t>声环境现状监测结果</w:t>
            </w:r>
            <w:r>
              <w:rPr>
                <w:rFonts w:hint="eastAsia"/>
                <w:color w:val="auto"/>
                <w:lang w:val="en-US" w:eastAsia="zh-CN"/>
              </w:rPr>
              <w:t xml:space="preserve">   </w:t>
            </w:r>
            <w:r>
              <w:rPr>
                <w:color w:val="auto"/>
              </w:rPr>
              <w:t>单位：dB（A）</w:t>
            </w:r>
          </w:p>
          <w:tbl>
            <w:tblPr>
              <w:tblStyle w:val="39"/>
              <w:tblW w:w="8521"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694"/>
              <w:gridCol w:w="2986"/>
              <w:gridCol w:w="1210"/>
              <w:gridCol w:w="1210"/>
              <w:gridCol w:w="1210"/>
              <w:gridCol w:w="121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Merge w:val="restart"/>
                  <w:tcBorders>
                    <w:top w:val="single" w:color="auto" w:sz="12" w:space="0"/>
                    <w:left w:val="nil"/>
                    <w:bottom w:val="single" w:color="auto" w:sz="6" w:space="0"/>
                    <w:right w:val="single" w:color="auto" w:sz="6" w:space="0"/>
                  </w:tcBorders>
                  <w:vAlign w:val="center"/>
                </w:tcPr>
                <w:p>
                  <w:pPr>
                    <w:pStyle w:val="57"/>
                    <w:rPr>
                      <w:color w:val="auto"/>
                      <w:sz w:val="21"/>
                      <w:szCs w:val="21"/>
                    </w:rPr>
                  </w:pPr>
                  <w:r>
                    <w:rPr>
                      <w:color w:val="auto"/>
                      <w:sz w:val="21"/>
                      <w:szCs w:val="21"/>
                    </w:rPr>
                    <w:t>序号</w:t>
                  </w:r>
                </w:p>
              </w:tc>
              <w:tc>
                <w:tcPr>
                  <w:tcW w:w="2986" w:type="dxa"/>
                  <w:vMerge w:val="restart"/>
                  <w:tcBorders>
                    <w:top w:val="single" w:color="auto" w:sz="12" w:space="0"/>
                    <w:left w:val="single" w:color="auto" w:sz="6" w:space="0"/>
                    <w:bottom w:val="single" w:color="auto" w:sz="6" w:space="0"/>
                    <w:right w:val="single" w:color="auto" w:sz="6" w:space="0"/>
                  </w:tcBorders>
                  <w:vAlign w:val="center"/>
                </w:tcPr>
                <w:p>
                  <w:pPr>
                    <w:pStyle w:val="57"/>
                    <w:rPr>
                      <w:color w:val="auto"/>
                      <w:sz w:val="21"/>
                      <w:szCs w:val="21"/>
                    </w:rPr>
                  </w:pPr>
                  <w:r>
                    <w:rPr>
                      <w:color w:val="auto"/>
                      <w:sz w:val="21"/>
                      <w:szCs w:val="21"/>
                    </w:rPr>
                    <w:t>监测点位</w:t>
                  </w:r>
                </w:p>
              </w:tc>
              <w:tc>
                <w:tcPr>
                  <w:tcW w:w="2420" w:type="dxa"/>
                  <w:gridSpan w:val="2"/>
                  <w:tcBorders>
                    <w:top w:val="single" w:color="auto" w:sz="12" w:space="0"/>
                    <w:left w:val="single" w:color="auto" w:sz="6" w:space="0"/>
                    <w:bottom w:val="single" w:color="auto" w:sz="6" w:space="0"/>
                    <w:right w:val="single" w:color="auto" w:sz="6" w:space="0"/>
                  </w:tcBorders>
                  <w:vAlign w:val="center"/>
                </w:tcPr>
                <w:p>
                  <w:pPr>
                    <w:pStyle w:val="57"/>
                    <w:rPr>
                      <w:color w:val="auto"/>
                      <w:sz w:val="21"/>
                      <w:szCs w:val="21"/>
                    </w:rPr>
                  </w:pPr>
                  <w:r>
                    <w:rPr>
                      <w:rFonts w:hint="eastAsia"/>
                      <w:color w:val="auto"/>
                      <w:sz w:val="21"/>
                      <w:szCs w:val="21"/>
                      <w:lang w:val="en-US" w:eastAsia="zh-CN"/>
                    </w:rPr>
                    <w:t>11</w:t>
                  </w:r>
                  <w:r>
                    <w:rPr>
                      <w:color w:val="auto"/>
                      <w:sz w:val="21"/>
                      <w:szCs w:val="21"/>
                    </w:rPr>
                    <w:t>月</w:t>
                  </w:r>
                  <w:r>
                    <w:rPr>
                      <w:rFonts w:hint="eastAsia"/>
                      <w:color w:val="auto"/>
                      <w:sz w:val="21"/>
                      <w:szCs w:val="21"/>
                      <w:lang w:val="en-US" w:eastAsia="zh-CN"/>
                    </w:rPr>
                    <w:t>10</w:t>
                  </w:r>
                  <w:r>
                    <w:rPr>
                      <w:color w:val="auto"/>
                      <w:sz w:val="21"/>
                      <w:szCs w:val="21"/>
                    </w:rPr>
                    <w:t>日</w:t>
                  </w:r>
                </w:p>
              </w:tc>
              <w:tc>
                <w:tcPr>
                  <w:tcW w:w="2421" w:type="dxa"/>
                  <w:gridSpan w:val="2"/>
                  <w:tcBorders>
                    <w:top w:val="single" w:color="auto" w:sz="12" w:space="0"/>
                    <w:left w:val="single" w:color="auto" w:sz="6" w:space="0"/>
                    <w:bottom w:val="single" w:color="auto" w:sz="6" w:space="0"/>
                    <w:right w:val="nil"/>
                  </w:tcBorders>
                  <w:vAlign w:val="center"/>
                </w:tcPr>
                <w:p>
                  <w:pPr>
                    <w:pStyle w:val="57"/>
                    <w:rPr>
                      <w:color w:val="auto"/>
                      <w:sz w:val="21"/>
                      <w:szCs w:val="21"/>
                    </w:rPr>
                  </w:pPr>
                  <w:r>
                    <w:rPr>
                      <w:rFonts w:hint="eastAsia"/>
                      <w:color w:val="auto"/>
                      <w:sz w:val="21"/>
                      <w:szCs w:val="21"/>
                      <w:lang w:val="en-US" w:eastAsia="zh-CN"/>
                    </w:rPr>
                    <w:t>11</w:t>
                  </w:r>
                  <w:r>
                    <w:rPr>
                      <w:color w:val="auto"/>
                      <w:sz w:val="21"/>
                      <w:szCs w:val="21"/>
                    </w:rPr>
                    <w:t>月</w:t>
                  </w:r>
                  <w:r>
                    <w:rPr>
                      <w:rFonts w:hint="eastAsia"/>
                      <w:color w:val="auto"/>
                      <w:sz w:val="21"/>
                      <w:szCs w:val="21"/>
                      <w:lang w:val="en-US" w:eastAsia="zh-CN"/>
                    </w:rPr>
                    <w:t>11</w:t>
                  </w:r>
                  <w:r>
                    <w:rPr>
                      <w:color w:val="auto"/>
                      <w:sz w:val="21"/>
                      <w:szCs w:val="21"/>
                    </w:rPr>
                    <w:t>日</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vMerge w:val="continue"/>
                  <w:tcBorders>
                    <w:top w:val="single" w:color="auto" w:sz="6" w:space="0"/>
                    <w:left w:val="nil"/>
                    <w:bottom w:val="single" w:color="auto" w:sz="6" w:space="0"/>
                    <w:right w:val="single" w:color="auto" w:sz="6" w:space="0"/>
                  </w:tcBorders>
                  <w:vAlign w:val="center"/>
                </w:tcPr>
                <w:p>
                  <w:pPr>
                    <w:pStyle w:val="57"/>
                    <w:rPr>
                      <w:color w:val="auto"/>
                      <w:sz w:val="21"/>
                      <w:szCs w:val="21"/>
                    </w:rPr>
                  </w:pPr>
                </w:p>
              </w:tc>
              <w:tc>
                <w:tcPr>
                  <w:tcW w:w="2986" w:type="dxa"/>
                  <w:vMerge w:val="continue"/>
                  <w:tcBorders>
                    <w:top w:val="single" w:color="auto" w:sz="6" w:space="0"/>
                    <w:left w:val="single" w:color="auto" w:sz="6" w:space="0"/>
                    <w:bottom w:val="single" w:color="auto" w:sz="6" w:space="0"/>
                    <w:right w:val="single" w:color="auto" w:sz="6" w:space="0"/>
                  </w:tcBorders>
                  <w:vAlign w:val="center"/>
                </w:tcPr>
                <w:p>
                  <w:pPr>
                    <w:pStyle w:val="57"/>
                    <w:rPr>
                      <w:color w:val="auto"/>
                      <w:sz w:val="21"/>
                      <w:szCs w:val="21"/>
                    </w:rPr>
                  </w:pPr>
                </w:p>
              </w:tc>
              <w:tc>
                <w:tcPr>
                  <w:tcW w:w="1210" w:type="dxa"/>
                  <w:tcBorders>
                    <w:top w:val="single" w:color="auto" w:sz="6" w:space="0"/>
                    <w:left w:val="single" w:color="auto" w:sz="6" w:space="0"/>
                    <w:bottom w:val="single" w:color="auto" w:sz="6" w:space="0"/>
                    <w:right w:val="single" w:color="auto" w:sz="6" w:space="0"/>
                  </w:tcBorders>
                  <w:vAlign w:val="center"/>
                </w:tcPr>
                <w:p>
                  <w:pPr>
                    <w:pStyle w:val="57"/>
                    <w:rPr>
                      <w:color w:val="auto"/>
                      <w:sz w:val="21"/>
                      <w:szCs w:val="21"/>
                    </w:rPr>
                  </w:pPr>
                  <w:r>
                    <w:rPr>
                      <w:color w:val="auto"/>
                      <w:sz w:val="21"/>
                      <w:szCs w:val="21"/>
                    </w:rPr>
                    <w:t>昼间</w:t>
                  </w:r>
                </w:p>
              </w:tc>
              <w:tc>
                <w:tcPr>
                  <w:tcW w:w="1210" w:type="dxa"/>
                  <w:tcBorders>
                    <w:top w:val="single" w:color="auto" w:sz="6" w:space="0"/>
                    <w:left w:val="single" w:color="auto" w:sz="6" w:space="0"/>
                    <w:bottom w:val="single" w:color="auto" w:sz="6" w:space="0"/>
                    <w:right w:val="single" w:color="auto" w:sz="6" w:space="0"/>
                  </w:tcBorders>
                  <w:vAlign w:val="center"/>
                </w:tcPr>
                <w:p>
                  <w:pPr>
                    <w:pStyle w:val="57"/>
                    <w:rPr>
                      <w:color w:val="auto"/>
                      <w:sz w:val="21"/>
                      <w:szCs w:val="21"/>
                    </w:rPr>
                  </w:pPr>
                  <w:r>
                    <w:rPr>
                      <w:color w:val="auto"/>
                      <w:sz w:val="21"/>
                      <w:szCs w:val="21"/>
                    </w:rPr>
                    <w:t>夜间</w:t>
                  </w:r>
                </w:p>
              </w:tc>
              <w:tc>
                <w:tcPr>
                  <w:tcW w:w="1210" w:type="dxa"/>
                  <w:tcBorders>
                    <w:top w:val="single" w:color="auto" w:sz="6" w:space="0"/>
                    <w:left w:val="single" w:color="auto" w:sz="6" w:space="0"/>
                    <w:bottom w:val="single" w:color="auto" w:sz="6" w:space="0"/>
                    <w:right w:val="single" w:color="auto" w:sz="6" w:space="0"/>
                  </w:tcBorders>
                  <w:vAlign w:val="center"/>
                </w:tcPr>
                <w:p>
                  <w:pPr>
                    <w:pStyle w:val="57"/>
                    <w:rPr>
                      <w:color w:val="auto"/>
                      <w:sz w:val="21"/>
                      <w:szCs w:val="21"/>
                    </w:rPr>
                  </w:pPr>
                  <w:r>
                    <w:rPr>
                      <w:color w:val="auto"/>
                      <w:sz w:val="21"/>
                      <w:szCs w:val="21"/>
                    </w:rPr>
                    <w:t>昼间</w:t>
                  </w:r>
                </w:p>
              </w:tc>
              <w:tc>
                <w:tcPr>
                  <w:tcW w:w="1211" w:type="dxa"/>
                  <w:tcBorders>
                    <w:top w:val="single" w:color="auto" w:sz="6" w:space="0"/>
                    <w:left w:val="single" w:color="auto" w:sz="6" w:space="0"/>
                    <w:bottom w:val="single" w:color="auto" w:sz="6" w:space="0"/>
                    <w:right w:val="nil"/>
                  </w:tcBorders>
                  <w:vAlign w:val="center"/>
                </w:tcPr>
                <w:p>
                  <w:pPr>
                    <w:pStyle w:val="57"/>
                    <w:rPr>
                      <w:color w:val="auto"/>
                      <w:sz w:val="21"/>
                      <w:szCs w:val="21"/>
                    </w:rPr>
                  </w:pPr>
                  <w:r>
                    <w:rPr>
                      <w:color w:val="auto"/>
                      <w:sz w:val="21"/>
                      <w:szCs w:val="21"/>
                    </w:rPr>
                    <w:t>夜间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tcBorders>
                    <w:top w:val="single" w:color="auto" w:sz="6" w:space="0"/>
                    <w:left w:val="nil"/>
                    <w:bottom w:val="single" w:color="auto" w:sz="6" w:space="0"/>
                    <w:right w:val="single" w:color="auto" w:sz="6" w:space="0"/>
                  </w:tcBorders>
                  <w:vAlign w:val="center"/>
                </w:tcPr>
                <w:p>
                  <w:pPr>
                    <w:pStyle w:val="57"/>
                    <w:rPr>
                      <w:color w:val="auto"/>
                      <w:sz w:val="21"/>
                      <w:szCs w:val="21"/>
                    </w:rPr>
                  </w:pPr>
                  <w:r>
                    <w:rPr>
                      <w:color w:val="auto"/>
                      <w:sz w:val="21"/>
                      <w:szCs w:val="21"/>
                    </w:rPr>
                    <w:t>N1</w:t>
                  </w:r>
                </w:p>
              </w:tc>
              <w:tc>
                <w:tcPr>
                  <w:tcW w:w="2986" w:type="dxa"/>
                  <w:tcBorders>
                    <w:top w:val="single" w:color="auto" w:sz="6" w:space="0"/>
                    <w:left w:val="single" w:color="auto" w:sz="6" w:space="0"/>
                    <w:bottom w:val="single" w:color="auto" w:sz="6" w:space="0"/>
                    <w:right w:val="single" w:color="auto" w:sz="6" w:space="0"/>
                  </w:tcBorders>
                  <w:vAlign w:val="center"/>
                </w:tcPr>
                <w:p>
                  <w:pPr>
                    <w:pStyle w:val="121"/>
                    <w:spacing w:line="240" w:lineRule="auto"/>
                    <w:ind w:firstLine="0" w:firstLineChars="0"/>
                    <w:jc w:val="center"/>
                    <w:rPr>
                      <w:color w:val="auto"/>
                      <w:sz w:val="21"/>
                      <w:szCs w:val="21"/>
                    </w:rPr>
                  </w:pPr>
                  <w:r>
                    <w:rPr>
                      <w:rFonts w:hint="eastAsia"/>
                      <w:color w:val="auto"/>
                      <w:sz w:val="21"/>
                      <w:szCs w:val="21"/>
                      <w:lang w:eastAsia="zh-CN"/>
                    </w:rPr>
                    <w:t>自来水厂北侧外</w:t>
                  </w:r>
                  <w:r>
                    <w:rPr>
                      <w:rFonts w:hint="eastAsia"/>
                      <w:color w:val="auto"/>
                      <w:sz w:val="21"/>
                      <w:szCs w:val="21"/>
                      <w:lang w:val="en-US" w:eastAsia="zh-CN"/>
                    </w:rPr>
                    <w:t>1m</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49</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39</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50</w:t>
                  </w:r>
                </w:p>
              </w:tc>
              <w:tc>
                <w:tcPr>
                  <w:tcW w:w="1211" w:type="dxa"/>
                  <w:tcBorders>
                    <w:top w:val="single" w:color="auto" w:sz="6" w:space="0"/>
                    <w:left w:val="single" w:color="auto" w:sz="6" w:space="0"/>
                    <w:bottom w:val="single" w:color="auto" w:sz="6" w:space="0"/>
                    <w:right w:val="nil"/>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tcBorders>
                    <w:top w:val="single" w:color="auto" w:sz="6" w:space="0"/>
                    <w:left w:val="nil"/>
                    <w:bottom w:val="single" w:color="auto" w:sz="6" w:space="0"/>
                    <w:right w:val="single" w:color="auto" w:sz="6" w:space="0"/>
                  </w:tcBorders>
                  <w:vAlign w:val="center"/>
                </w:tcPr>
                <w:p>
                  <w:pPr>
                    <w:pStyle w:val="57"/>
                    <w:rPr>
                      <w:color w:val="auto"/>
                      <w:sz w:val="21"/>
                      <w:szCs w:val="21"/>
                    </w:rPr>
                  </w:pPr>
                  <w:r>
                    <w:rPr>
                      <w:rFonts w:hint="eastAsia"/>
                      <w:color w:val="auto"/>
                      <w:sz w:val="21"/>
                      <w:szCs w:val="21"/>
                    </w:rPr>
                    <w:t>N2</w:t>
                  </w:r>
                </w:p>
              </w:tc>
              <w:tc>
                <w:tcPr>
                  <w:tcW w:w="2986" w:type="dxa"/>
                  <w:tcBorders>
                    <w:top w:val="single" w:color="auto" w:sz="6" w:space="0"/>
                    <w:left w:val="single" w:color="auto" w:sz="6" w:space="0"/>
                    <w:bottom w:val="single" w:color="auto" w:sz="6" w:space="0"/>
                    <w:right w:val="single" w:color="auto" w:sz="6" w:space="0"/>
                  </w:tcBorders>
                  <w:vAlign w:val="center"/>
                </w:tcPr>
                <w:p>
                  <w:pPr>
                    <w:pStyle w:val="121"/>
                    <w:spacing w:line="240" w:lineRule="auto"/>
                    <w:ind w:firstLine="0" w:firstLineChars="0"/>
                    <w:jc w:val="center"/>
                    <w:rPr>
                      <w:color w:val="auto"/>
                      <w:sz w:val="21"/>
                      <w:szCs w:val="21"/>
                    </w:rPr>
                  </w:pPr>
                  <w:r>
                    <w:rPr>
                      <w:rFonts w:hint="eastAsia"/>
                      <w:color w:val="auto"/>
                      <w:sz w:val="21"/>
                      <w:szCs w:val="21"/>
                      <w:lang w:eastAsia="zh-CN"/>
                    </w:rPr>
                    <w:t>自来水厂东侧外</w:t>
                  </w:r>
                  <w:r>
                    <w:rPr>
                      <w:rFonts w:hint="eastAsia"/>
                      <w:color w:val="auto"/>
                      <w:sz w:val="21"/>
                      <w:szCs w:val="21"/>
                      <w:lang w:val="en-US" w:eastAsia="zh-CN"/>
                    </w:rPr>
                    <w:t>1m</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51</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41</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50</w:t>
                  </w:r>
                </w:p>
              </w:tc>
              <w:tc>
                <w:tcPr>
                  <w:tcW w:w="1211" w:type="dxa"/>
                  <w:tcBorders>
                    <w:top w:val="single" w:color="auto" w:sz="6" w:space="0"/>
                    <w:left w:val="single" w:color="auto" w:sz="6" w:space="0"/>
                    <w:bottom w:val="single" w:color="auto" w:sz="6" w:space="0"/>
                    <w:right w:val="nil"/>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tcBorders>
                    <w:top w:val="single" w:color="auto" w:sz="6" w:space="0"/>
                    <w:left w:val="nil"/>
                    <w:bottom w:val="single" w:color="auto" w:sz="6" w:space="0"/>
                    <w:right w:val="single" w:color="auto" w:sz="6" w:space="0"/>
                  </w:tcBorders>
                  <w:vAlign w:val="center"/>
                </w:tcPr>
                <w:p>
                  <w:pPr>
                    <w:pStyle w:val="57"/>
                    <w:rPr>
                      <w:color w:val="auto"/>
                      <w:sz w:val="21"/>
                      <w:szCs w:val="21"/>
                    </w:rPr>
                  </w:pPr>
                  <w:r>
                    <w:rPr>
                      <w:rFonts w:hint="eastAsia"/>
                      <w:color w:val="auto"/>
                      <w:sz w:val="21"/>
                      <w:szCs w:val="21"/>
                    </w:rPr>
                    <w:t>N3</w:t>
                  </w:r>
                </w:p>
              </w:tc>
              <w:tc>
                <w:tcPr>
                  <w:tcW w:w="2986" w:type="dxa"/>
                  <w:tcBorders>
                    <w:top w:val="single" w:color="auto" w:sz="6" w:space="0"/>
                    <w:left w:val="single" w:color="auto" w:sz="6" w:space="0"/>
                    <w:bottom w:val="single" w:color="auto" w:sz="6" w:space="0"/>
                    <w:right w:val="single" w:color="auto" w:sz="6" w:space="0"/>
                  </w:tcBorders>
                  <w:vAlign w:val="center"/>
                </w:tcPr>
                <w:p>
                  <w:pPr>
                    <w:pStyle w:val="121"/>
                    <w:spacing w:line="240" w:lineRule="auto"/>
                    <w:ind w:firstLine="0" w:firstLineChars="0"/>
                    <w:jc w:val="center"/>
                    <w:rPr>
                      <w:color w:val="auto"/>
                      <w:sz w:val="21"/>
                      <w:szCs w:val="21"/>
                    </w:rPr>
                  </w:pPr>
                  <w:r>
                    <w:rPr>
                      <w:rFonts w:hint="eastAsia"/>
                      <w:color w:val="auto"/>
                      <w:sz w:val="21"/>
                      <w:szCs w:val="21"/>
                      <w:lang w:eastAsia="zh-CN"/>
                    </w:rPr>
                    <w:t>自来水厂南侧外</w:t>
                  </w:r>
                  <w:r>
                    <w:rPr>
                      <w:rFonts w:hint="eastAsia"/>
                      <w:color w:val="auto"/>
                      <w:sz w:val="21"/>
                      <w:szCs w:val="21"/>
                      <w:lang w:val="en-US" w:eastAsia="zh-CN"/>
                    </w:rPr>
                    <w:t>1m</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49</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40</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49</w:t>
                  </w:r>
                </w:p>
              </w:tc>
              <w:tc>
                <w:tcPr>
                  <w:tcW w:w="1211" w:type="dxa"/>
                  <w:tcBorders>
                    <w:top w:val="single" w:color="auto" w:sz="6" w:space="0"/>
                    <w:left w:val="single" w:color="auto" w:sz="6" w:space="0"/>
                    <w:bottom w:val="single" w:color="auto" w:sz="6" w:space="0"/>
                    <w:right w:val="nil"/>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94" w:type="dxa"/>
                  <w:tcBorders>
                    <w:top w:val="single" w:color="auto" w:sz="6" w:space="0"/>
                    <w:left w:val="nil"/>
                    <w:bottom w:val="single" w:color="auto" w:sz="6" w:space="0"/>
                    <w:right w:val="single" w:color="auto" w:sz="6" w:space="0"/>
                  </w:tcBorders>
                  <w:vAlign w:val="center"/>
                </w:tcPr>
                <w:p>
                  <w:pPr>
                    <w:pStyle w:val="57"/>
                    <w:rPr>
                      <w:color w:val="auto"/>
                      <w:sz w:val="21"/>
                      <w:szCs w:val="21"/>
                    </w:rPr>
                  </w:pPr>
                  <w:r>
                    <w:rPr>
                      <w:rFonts w:hint="eastAsia"/>
                      <w:color w:val="auto"/>
                      <w:sz w:val="21"/>
                      <w:szCs w:val="21"/>
                    </w:rPr>
                    <w:t>N4</w:t>
                  </w:r>
                </w:p>
              </w:tc>
              <w:tc>
                <w:tcPr>
                  <w:tcW w:w="2986" w:type="dxa"/>
                  <w:tcBorders>
                    <w:top w:val="single" w:color="auto" w:sz="6" w:space="0"/>
                    <w:left w:val="single" w:color="auto" w:sz="6" w:space="0"/>
                    <w:bottom w:val="single" w:color="auto" w:sz="6" w:space="0"/>
                    <w:right w:val="single" w:color="auto" w:sz="6" w:space="0"/>
                  </w:tcBorders>
                  <w:vAlign w:val="center"/>
                </w:tcPr>
                <w:p>
                  <w:pPr>
                    <w:pStyle w:val="121"/>
                    <w:spacing w:line="240" w:lineRule="auto"/>
                    <w:ind w:firstLine="0" w:firstLineChars="0"/>
                    <w:jc w:val="center"/>
                    <w:rPr>
                      <w:color w:val="auto"/>
                      <w:sz w:val="21"/>
                      <w:szCs w:val="21"/>
                    </w:rPr>
                  </w:pPr>
                  <w:r>
                    <w:rPr>
                      <w:rFonts w:hint="eastAsia"/>
                      <w:color w:val="auto"/>
                      <w:sz w:val="21"/>
                      <w:szCs w:val="21"/>
                      <w:lang w:eastAsia="zh-CN"/>
                    </w:rPr>
                    <w:t>自来水厂西侧外</w:t>
                  </w:r>
                  <w:r>
                    <w:rPr>
                      <w:rFonts w:hint="eastAsia"/>
                      <w:color w:val="auto"/>
                      <w:sz w:val="21"/>
                      <w:szCs w:val="21"/>
                      <w:lang w:val="en-US" w:eastAsia="zh-CN"/>
                    </w:rPr>
                    <w:t>1m</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50</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40</w:t>
                  </w:r>
                </w:p>
              </w:tc>
              <w:tc>
                <w:tcPr>
                  <w:tcW w:w="1210" w:type="dxa"/>
                  <w:tcBorders>
                    <w:top w:val="single" w:color="auto" w:sz="6" w:space="0"/>
                    <w:left w:val="single" w:color="auto" w:sz="6" w:space="0"/>
                    <w:bottom w:val="single" w:color="auto" w:sz="6" w:space="0"/>
                    <w:right w:val="single" w:color="auto" w:sz="6" w:space="0"/>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51</w:t>
                  </w:r>
                </w:p>
              </w:tc>
              <w:tc>
                <w:tcPr>
                  <w:tcW w:w="1211" w:type="dxa"/>
                  <w:tcBorders>
                    <w:top w:val="single" w:color="auto" w:sz="6" w:space="0"/>
                    <w:left w:val="single" w:color="auto" w:sz="6" w:space="0"/>
                    <w:bottom w:val="single" w:color="auto" w:sz="6" w:space="0"/>
                    <w:right w:val="nil"/>
                  </w:tcBorders>
                  <w:vAlign w:val="center"/>
                </w:tcPr>
                <w:p>
                  <w:pPr>
                    <w:pStyle w:val="121"/>
                    <w:widowControl w:val="0"/>
                    <w:spacing w:line="240" w:lineRule="auto"/>
                    <w:ind w:firstLine="0" w:firstLineChars="0"/>
                    <w:jc w:val="center"/>
                    <w:textAlignment w:val="auto"/>
                    <w:rPr>
                      <w:color w:val="auto"/>
                      <w:sz w:val="21"/>
                      <w:szCs w:val="21"/>
                    </w:rPr>
                  </w:pPr>
                  <w:r>
                    <w:rPr>
                      <w:rFonts w:hint="default"/>
                      <w:color w:val="auto"/>
                      <w:sz w:val="21"/>
                      <w:szCs w:val="21"/>
                      <w:lang w:val="en-US" w:eastAsia="zh-CN"/>
                    </w:rPr>
                    <w:t>41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3680" w:type="dxa"/>
                  <w:gridSpan w:val="2"/>
                  <w:tcBorders>
                    <w:top w:val="single" w:color="auto" w:sz="6" w:space="0"/>
                    <w:left w:val="nil"/>
                    <w:bottom w:val="single" w:color="auto" w:sz="12" w:space="0"/>
                    <w:right w:val="single" w:color="auto" w:sz="6" w:space="0"/>
                  </w:tcBorders>
                  <w:vAlign w:val="center"/>
                </w:tcPr>
                <w:p>
                  <w:pPr>
                    <w:pStyle w:val="57"/>
                    <w:rPr>
                      <w:color w:val="auto"/>
                      <w:sz w:val="21"/>
                      <w:szCs w:val="21"/>
                    </w:rPr>
                  </w:pPr>
                  <w:r>
                    <w:rPr>
                      <w:color w:val="auto"/>
                      <w:sz w:val="21"/>
                      <w:szCs w:val="21"/>
                    </w:rPr>
                    <w:t>标准值</w:t>
                  </w:r>
                  <w:r>
                    <w:rPr>
                      <w:color w:val="auto"/>
                      <w:sz w:val="21"/>
                      <w:szCs w:val="21"/>
                    </w:rPr>
                    <w:cr/>
                  </w:r>
                  <w:r>
                    <w:rPr>
                      <w:rFonts w:hint="eastAsia"/>
                      <w:color w:val="auto"/>
                      <w:sz w:val="21"/>
                      <w:szCs w:val="21"/>
                    </w:rPr>
                    <w:t>（2类）</w:t>
                  </w:r>
                </w:p>
              </w:tc>
              <w:tc>
                <w:tcPr>
                  <w:tcW w:w="1210" w:type="dxa"/>
                  <w:tcBorders>
                    <w:top w:val="single" w:color="auto" w:sz="6" w:space="0"/>
                    <w:left w:val="single" w:color="auto" w:sz="6" w:space="0"/>
                    <w:bottom w:val="single" w:color="auto" w:sz="12" w:space="0"/>
                    <w:right w:val="single" w:color="auto" w:sz="6" w:space="0"/>
                  </w:tcBorders>
                  <w:vAlign w:val="center"/>
                </w:tcPr>
                <w:p>
                  <w:pPr>
                    <w:pStyle w:val="121"/>
                    <w:spacing w:line="240" w:lineRule="auto"/>
                    <w:ind w:firstLine="0" w:firstLineChars="0"/>
                    <w:jc w:val="center"/>
                    <w:rPr>
                      <w:color w:val="auto"/>
                      <w:sz w:val="21"/>
                      <w:szCs w:val="21"/>
                    </w:rPr>
                  </w:pPr>
                  <w:r>
                    <w:rPr>
                      <w:rFonts w:hint="default"/>
                      <w:color w:val="auto"/>
                      <w:sz w:val="21"/>
                      <w:szCs w:val="21"/>
                    </w:rPr>
                    <w:t>60</w:t>
                  </w:r>
                </w:p>
              </w:tc>
              <w:tc>
                <w:tcPr>
                  <w:tcW w:w="1210" w:type="dxa"/>
                  <w:tcBorders>
                    <w:top w:val="single" w:color="auto" w:sz="6" w:space="0"/>
                    <w:left w:val="single" w:color="auto" w:sz="6" w:space="0"/>
                    <w:bottom w:val="single" w:color="auto" w:sz="12" w:space="0"/>
                    <w:right w:val="single" w:color="auto" w:sz="6" w:space="0"/>
                  </w:tcBorders>
                  <w:vAlign w:val="center"/>
                </w:tcPr>
                <w:p>
                  <w:pPr>
                    <w:pStyle w:val="121"/>
                    <w:spacing w:line="240" w:lineRule="auto"/>
                    <w:ind w:firstLine="0" w:firstLineChars="0"/>
                    <w:jc w:val="center"/>
                    <w:rPr>
                      <w:color w:val="auto"/>
                      <w:sz w:val="21"/>
                      <w:szCs w:val="21"/>
                    </w:rPr>
                  </w:pPr>
                  <w:r>
                    <w:rPr>
                      <w:rFonts w:hint="default"/>
                      <w:color w:val="auto"/>
                      <w:sz w:val="21"/>
                      <w:szCs w:val="21"/>
                    </w:rPr>
                    <w:t>50</w:t>
                  </w:r>
                </w:p>
              </w:tc>
              <w:tc>
                <w:tcPr>
                  <w:tcW w:w="1210" w:type="dxa"/>
                  <w:tcBorders>
                    <w:top w:val="single" w:color="auto" w:sz="6" w:space="0"/>
                    <w:left w:val="single" w:color="auto" w:sz="6" w:space="0"/>
                    <w:bottom w:val="single" w:color="auto" w:sz="12" w:space="0"/>
                    <w:right w:val="single" w:color="auto" w:sz="6" w:space="0"/>
                  </w:tcBorders>
                  <w:vAlign w:val="center"/>
                </w:tcPr>
                <w:p>
                  <w:pPr>
                    <w:pStyle w:val="121"/>
                    <w:spacing w:line="240" w:lineRule="auto"/>
                    <w:ind w:firstLine="0" w:firstLineChars="0"/>
                    <w:jc w:val="center"/>
                    <w:rPr>
                      <w:color w:val="auto"/>
                      <w:sz w:val="21"/>
                      <w:szCs w:val="21"/>
                    </w:rPr>
                  </w:pPr>
                  <w:r>
                    <w:rPr>
                      <w:rFonts w:hint="default"/>
                      <w:color w:val="auto"/>
                      <w:sz w:val="21"/>
                      <w:szCs w:val="21"/>
                    </w:rPr>
                    <w:t>60</w:t>
                  </w:r>
                </w:p>
              </w:tc>
              <w:tc>
                <w:tcPr>
                  <w:tcW w:w="1211" w:type="dxa"/>
                  <w:tcBorders>
                    <w:top w:val="single" w:color="auto" w:sz="6" w:space="0"/>
                    <w:left w:val="single" w:color="auto" w:sz="6" w:space="0"/>
                    <w:bottom w:val="single" w:color="auto" w:sz="12" w:space="0"/>
                    <w:right w:val="nil"/>
                  </w:tcBorders>
                  <w:vAlign w:val="center"/>
                </w:tcPr>
                <w:p>
                  <w:pPr>
                    <w:pStyle w:val="121"/>
                    <w:spacing w:line="240" w:lineRule="auto"/>
                    <w:ind w:firstLine="0" w:firstLineChars="0"/>
                    <w:jc w:val="center"/>
                    <w:rPr>
                      <w:color w:val="auto"/>
                      <w:sz w:val="21"/>
                      <w:szCs w:val="21"/>
                    </w:rPr>
                  </w:pPr>
                  <w:r>
                    <w:rPr>
                      <w:rFonts w:hint="default"/>
                      <w:color w:val="auto"/>
                      <w:sz w:val="21"/>
                      <w:szCs w:val="21"/>
                    </w:rPr>
                    <w:t>50</w:t>
                  </w:r>
                </w:p>
              </w:tc>
            </w:tr>
          </w:tbl>
          <w:p>
            <w:pPr>
              <w:ind w:firstLine="480"/>
              <w:rPr>
                <w:color w:val="auto"/>
              </w:rPr>
            </w:pPr>
            <w:r>
              <w:rPr>
                <w:color w:val="auto"/>
              </w:rPr>
              <w:t>根据噪声监测结果，工程厂界四周的声环境质量现状符合国家《声环境质量标准》（GB3096-2008）中的</w:t>
            </w:r>
            <w:r>
              <w:rPr>
                <w:rFonts w:hint="eastAsia"/>
                <w:color w:val="auto"/>
              </w:rPr>
              <w:t>2</w:t>
            </w:r>
            <w:r>
              <w:rPr>
                <w:color w:val="auto"/>
              </w:rPr>
              <w:t>类标准，没有出现超标现象，说明工程所在地声环境质量良好。</w:t>
            </w:r>
          </w:p>
          <w:p>
            <w:pPr>
              <w:pStyle w:val="55"/>
              <w:ind w:firstLine="482"/>
              <w:rPr>
                <w:color w:val="auto"/>
              </w:rPr>
            </w:pPr>
            <w:r>
              <w:rPr>
                <w:rFonts w:hint="eastAsia"/>
                <w:color w:val="auto"/>
              </w:rPr>
              <w:t>4、土壤环境质量现状</w:t>
            </w:r>
          </w:p>
          <w:p>
            <w:pPr>
              <w:ind w:firstLine="480"/>
              <w:rPr>
                <w:color w:val="auto"/>
              </w:rPr>
            </w:pPr>
            <w:r>
              <w:rPr>
                <w:rFonts w:hint="eastAsia"/>
                <w:color w:val="auto"/>
              </w:rPr>
              <w:t>根据《环境影响评价技术导则-土壤环境》（HJ964-2018）附录A，本工程主要为新建自来水厂工程，属于“其他行业”类，土壤环境影响评价工程类别属于IV类，工程可不开展土壤环境影响评价工作。</w:t>
            </w:r>
          </w:p>
          <w:p>
            <w:pPr>
              <w:pStyle w:val="55"/>
              <w:ind w:firstLine="482"/>
              <w:rPr>
                <w:color w:val="auto"/>
              </w:rPr>
            </w:pPr>
            <w:r>
              <w:rPr>
                <w:rFonts w:hint="eastAsia"/>
                <w:color w:val="auto"/>
              </w:rPr>
              <w:t>5、地下水环境质量现状</w:t>
            </w:r>
          </w:p>
          <w:p>
            <w:pPr>
              <w:pStyle w:val="55"/>
              <w:ind w:firstLine="482"/>
              <w:rPr>
                <w:rFonts w:hint="eastAsia"/>
                <w:b w:val="0"/>
                <w:bCs/>
                <w:color w:val="auto"/>
              </w:rPr>
            </w:pPr>
            <w:r>
              <w:rPr>
                <w:rFonts w:hint="eastAsia"/>
                <w:b w:val="0"/>
                <w:bCs/>
                <w:color w:val="auto"/>
              </w:rPr>
              <w:t>根据《环境影响评价技术导则-地下水环境》（HJ610-2016）附录A，本工程主要为新建自来水厂工程，属于“U 城镇基础设施及房地产”中的“143 自来水生产和供应工程”，工程类别为Ⅳ类，可不进行地下水评价。</w:t>
            </w:r>
          </w:p>
          <w:p>
            <w:pPr>
              <w:pStyle w:val="55"/>
              <w:ind w:firstLine="482"/>
              <w:rPr>
                <w:color w:val="auto"/>
              </w:rPr>
            </w:pPr>
            <w:r>
              <w:rPr>
                <w:rFonts w:hint="eastAsia"/>
                <w:color w:val="auto"/>
              </w:rPr>
              <w:t>6、生态现状调查</w:t>
            </w:r>
          </w:p>
          <w:p>
            <w:pPr>
              <w:ind w:firstLine="480"/>
              <w:rPr>
                <w:color w:val="auto"/>
              </w:rPr>
            </w:pPr>
            <w:r>
              <w:rPr>
                <w:rFonts w:hint="eastAsia"/>
                <w:color w:val="auto"/>
              </w:rPr>
              <w:t>项目永久占地未涉及自然保护区、风景名胜区、森林公园、地质公园、重要湿地等特殊生态敏感区和重要生态敏感区，因此项目永久占地属于一般区域。项目占地面积（含水域）约为</w:t>
            </w:r>
            <w:r>
              <w:rPr>
                <w:color w:val="auto"/>
              </w:rPr>
              <w:t>0.</w:t>
            </w:r>
            <w:r>
              <w:rPr>
                <w:rFonts w:hint="eastAsia"/>
                <w:color w:val="auto"/>
                <w:lang w:val="en-US" w:eastAsia="zh-CN"/>
              </w:rPr>
              <w:t>083</w:t>
            </w:r>
            <w:r>
              <w:rPr>
                <w:rFonts w:hint="eastAsia"/>
                <w:color w:val="auto"/>
              </w:rPr>
              <w:t>k㎡，根据环境影响评价技术导则 生态影响（HJ19-2011）表1 生态影响环境工作等级划分表，项目生态环境影响评价为三级评价，三级评级可充分借鉴已有资料进行说明。</w:t>
            </w:r>
          </w:p>
          <w:p>
            <w:pPr>
              <w:ind w:firstLine="480"/>
              <w:rPr>
                <w:b/>
                <w:color w:val="auto"/>
              </w:rPr>
            </w:pPr>
            <w:r>
              <w:rPr>
                <w:rFonts w:hint="eastAsia"/>
                <w:color w:val="auto"/>
              </w:rPr>
              <w:t>项目</w:t>
            </w:r>
            <w:r>
              <w:rPr>
                <w:color w:val="auto"/>
              </w:rPr>
              <w:t>周边区域生态环境评价主要依据资料查询，具体现状如下：</w:t>
            </w:r>
          </w:p>
          <w:p>
            <w:pPr>
              <w:ind w:firstLine="480"/>
              <w:rPr>
                <w:color w:val="auto"/>
              </w:rPr>
            </w:pPr>
            <w:r>
              <w:rPr>
                <w:rFonts w:hint="eastAsia"/>
                <w:color w:val="auto"/>
              </w:rPr>
              <w:t>（1）</w:t>
            </w:r>
            <w:r>
              <w:rPr>
                <w:color w:val="auto"/>
              </w:rPr>
              <w:t>项目区水土流失现状</w:t>
            </w:r>
          </w:p>
          <w:p>
            <w:pPr>
              <w:ind w:firstLine="480"/>
              <w:rPr>
                <w:color w:val="auto"/>
              </w:rPr>
            </w:pPr>
            <w:r>
              <w:rPr>
                <w:color w:val="auto"/>
              </w:rPr>
              <w:t>根据现场勘查，项目所在区域内植被良好，轻微水土流失。在项目施工建设过程中，随着地面植被的破坏及工程开挖范围的扩大，项目区潜在侵蚀强度有增加趋势。</w:t>
            </w:r>
          </w:p>
          <w:p>
            <w:pPr>
              <w:ind w:firstLine="480"/>
              <w:rPr>
                <w:bCs/>
                <w:color w:val="auto"/>
              </w:rPr>
            </w:pPr>
            <w:r>
              <w:rPr>
                <w:rFonts w:hint="eastAsia"/>
                <w:bCs/>
                <w:color w:val="auto"/>
              </w:rPr>
              <w:t>（2）</w:t>
            </w:r>
            <w:r>
              <w:rPr>
                <w:bCs/>
                <w:color w:val="auto"/>
              </w:rPr>
              <w:t>生物多样性</w:t>
            </w:r>
          </w:p>
          <w:p>
            <w:pPr>
              <w:ind w:firstLine="480"/>
              <w:rPr>
                <w:color w:val="auto"/>
              </w:rPr>
            </w:pPr>
            <w:r>
              <w:rPr>
                <w:rFonts w:hint="eastAsia"/>
                <w:color w:val="auto"/>
              </w:rPr>
              <w:t>连州市有蕨类植物48科383种；有裸子植物20科61种；被子植物共计3956种，其中药用植物1500多种，材用植物1000多种；牧草植物1200余种；花卉、观赏植物500多种；芳香、油料植物400余种；纤维植物300余种；野果、淀粉植物200余种等。属于国家保护的珍稀濒危植物有一级保护的桫椤、南方红豆杉、伯乐树、报春苣苔等6种；属于二级保护的有福建柏、长柄双花木、伞花木、白豆杉、观光木、银杏、香果树、广东松、半枫荷、红椿、华南栲、喜树等30多种。</w:t>
            </w:r>
          </w:p>
          <w:p>
            <w:pPr>
              <w:ind w:firstLine="480"/>
              <w:rPr>
                <w:color w:val="auto"/>
              </w:rPr>
            </w:pPr>
            <w:r>
              <w:rPr>
                <w:rFonts w:hint="eastAsia"/>
                <w:color w:val="auto"/>
              </w:rPr>
              <w:t>连州市有野生动物500多种，其中兽类有100多种，鸟类200多种，爬行类90多种，两栖类30多种，鱼类30多种。属国家重点保护的动物有30多种，其中国家一级保护动物有：华南虎、黄腹角雉、云豹、金钱豹、蟒蛇、金雕、白颈长尾雉等10多种。属国家二级保护的动物有红面猴、穿山甲、大小灵猫、白鹇、苏门羚、水鹿、狗熊、毛冠鹿、虎皮蛙、金猫和猛禽类等30多种。</w:t>
            </w:r>
          </w:p>
          <w:p>
            <w:pPr>
              <w:ind w:firstLine="480"/>
              <w:rPr>
                <w:color w:val="auto"/>
              </w:rPr>
            </w:pPr>
            <w:r>
              <w:rPr>
                <w:rFonts w:hint="eastAsia"/>
                <w:color w:val="auto"/>
              </w:rPr>
              <w:t>根据查阅资料以及实地调查，取水水源</w:t>
            </w:r>
            <w:r>
              <w:rPr>
                <w:rFonts w:hint="eastAsia"/>
                <w:color w:val="auto"/>
                <w:lang w:eastAsia="zh-CN"/>
              </w:rPr>
              <w:t>八一</w:t>
            </w:r>
            <w:r>
              <w:rPr>
                <w:rFonts w:hint="eastAsia"/>
                <w:color w:val="auto"/>
              </w:rPr>
              <w:t>水库暂无水域功能和水质目标规划，并且</w:t>
            </w:r>
            <w:r>
              <w:rPr>
                <w:rFonts w:hint="eastAsia"/>
                <w:color w:val="auto"/>
                <w:lang w:eastAsia="zh-CN"/>
              </w:rPr>
              <w:t>，</w:t>
            </w:r>
            <w:r>
              <w:rPr>
                <w:rFonts w:hint="eastAsia"/>
                <w:color w:val="auto"/>
              </w:rPr>
              <w:t>不在连州市现有的饮用水源保护区内，不涉及水生生态敏感区，水库内没有发现珍稀水生生物以及较大经济鱼类，也没有鱼类产卵场、索饵场、越冬场的存在，水生生物主要以浮游生物为主。</w:t>
            </w:r>
          </w:p>
          <w:p>
            <w:pPr>
              <w:ind w:firstLine="480"/>
              <w:rPr>
                <w:color w:val="auto"/>
              </w:rPr>
            </w:pPr>
            <w:r>
              <w:rPr>
                <w:color w:val="auto"/>
              </w:rPr>
              <w:t>项目所在的区域植被以灌丛、</w:t>
            </w:r>
            <w:r>
              <w:rPr>
                <w:rFonts w:hint="eastAsia"/>
                <w:color w:val="auto"/>
              </w:rPr>
              <w:t>树林、农作物</w:t>
            </w:r>
            <w:r>
              <w:rPr>
                <w:color w:val="auto"/>
              </w:rPr>
              <w:t>为主；由于人类长期活动，工程区域内没有大型野生动物出没，也不存在珍稀濒危动植物</w:t>
            </w:r>
            <w:r>
              <w:rPr>
                <w:rFonts w:hint="eastAsia"/>
                <w:color w:val="auto"/>
              </w:rPr>
              <w:t>，取水水源</w:t>
            </w:r>
            <w:r>
              <w:rPr>
                <w:rFonts w:hint="eastAsia"/>
                <w:color w:val="auto"/>
                <w:lang w:eastAsia="zh-CN"/>
              </w:rPr>
              <w:t>八一</w:t>
            </w:r>
            <w:r>
              <w:rPr>
                <w:rFonts w:hint="eastAsia"/>
                <w:color w:val="auto"/>
              </w:rPr>
              <w:t>水库不存在珍稀水生生物以及较大经济鱼类，水生生物主要以浮游生物为主</w:t>
            </w:r>
            <w:r>
              <w:rPr>
                <w:color w:val="auto"/>
              </w:rPr>
              <w:t>。</w:t>
            </w:r>
          </w:p>
          <w:p>
            <w:pPr>
              <w:ind w:firstLine="480"/>
              <w:rPr>
                <w:bCs/>
                <w:color w:val="auto"/>
              </w:rPr>
            </w:pPr>
            <w:r>
              <w:rPr>
                <w:rFonts w:hint="eastAsia"/>
                <w:bCs/>
                <w:color w:val="auto"/>
              </w:rPr>
              <w:t>（3）</w:t>
            </w:r>
            <w:r>
              <w:rPr>
                <w:bCs/>
                <w:color w:val="auto"/>
              </w:rPr>
              <w:t>区域生态体系组成</w:t>
            </w:r>
          </w:p>
          <w:p>
            <w:pPr>
              <w:ind w:firstLine="480"/>
              <w:rPr>
                <w:color w:val="auto"/>
              </w:rPr>
            </w:pPr>
            <w:r>
              <w:rPr>
                <w:color w:val="auto"/>
              </w:rPr>
              <w:t>根据现场踏勘和资料查询，结合区域植被分布及土地利用现状等特征分析，项目区域生态体系可分为草地生态系统、林地生态系统、</w:t>
            </w:r>
            <w:r>
              <w:rPr>
                <w:rFonts w:hint="eastAsia"/>
                <w:color w:val="auto"/>
              </w:rPr>
              <w:t>水生生态系统、耕地生态系统、</w:t>
            </w:r>
            <w:r>
              <w:rPr>
                <w:color w:val="auto"/>
              </w:rPr>
              <w:t>村镇乡及道路系统</w:t>
            </w:r>
            <w:r>
              <w:rPr>
                <w:rFonts w:hint="eastAsia"/>
                <w:color w:val="auto"/>
              </w:rPr>
              <w:t>等</w:t>
            </w:r>
            <w:r>
              <w:rPr>
                <w:color w:val="auto"/>
              </w:rPr>
              <w:t>生态拼块类型。</w:t>
            </w:r>
          </w:p>
          <w:p>
            <w:pPr>
              <w:ind w:firstLine="480" w:firstLineChars="0"/>
              <w:rPr>
                <w:color w:val="auto"/>
              </w:rPr>
            </w:pPr>
            <w:r>
              <w:rPr>
                <w:color w:val="auto"/>
              </w:rPr>
              <w:t>综上所述，项目</w:t>
            </w:r>
            <w:r>
              <w:rPr>
                <w:rFonts w:hint="eastAsia"/>
                <w:color w:val="auto"/>
              </w:rPr>
              <w:t>所在地</w:t>
            </w:r>
            <w:r>
              <w:rPr>
                <w:color w:val="auto"/>
              </w:rPr>
              <w:t>生态环境质量现状一般。</w:t>
            </w:r>
          </w:p>
          <w:p>
            <w:pPr>
              <w:pStyle w:val="2"/>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725" w:type="dxa"/>
          </w:tcPr>
          <w:p>
            <w:pPr>
              <w:pStyle w:val="54"/>
              <w:topLinePunct/>
              <w:rPr>
                <w:color w:val="auto"/>
              </w:rPr>
            </w:pPr>
            <w:r>
              <w:rPr>
                <w:color w:val="auto"/>
              </w:rPr>
              <w:t>主要环境保护目标（列出名单及保护级别）</w:t>
            </w:r>
          </w:p>
          <w:p>
            <w:pPr>
              <w:pStyle w:val="55"/>
              <w:topLinePunct/>
              <w:ind w:firstLine="482"/>
              <w:rPr>
                <w:color w:val="auto"/>
              </w:rPr>
            </w:pPr>
            <w:r>
              <w:rPr>
                <w:rFonts w:hint="eastAsia"/>
                <w:color w:val="auto"/>
              </w:rPr>
              <w:t>1、</w:t>
            </w:r>
            <w:r>
              <w:rPr>
                <w:color w:val="auto"/>
              </w:rPr>
              <w:t>水环境保护目标</w:t>
            </w:r>
          </w:p>
          <w:p>
            <w:pPr>
              <w:ind w:firstLine="480"/>
              <w:rPr>
                <w:color w:val="auto"/>
              </w:rPr>
            </w:pPr>
            <w:r>
              <w:rPr>
                <w:rFonts w:hint="eastAsia"/>
                <w:color w:val="auto"/>
              </w:rPr>
              <w:t>保护项目所在水体西江水水质不会因本项目建设而下降。</w:t>
            </w:r>
          </w:p>
          <w:p>
            <w:pPr>
              <w:pStyle w:val="55"/>
              <w:topLinePunct/>
              <w:ind w:firstLine="482"/>
              <w:rPr>
                <w:color w:val="auto"/>
              </w:rPr>
            </w:pPr>
            <w:r>
              <w:rPr>
                <w:rFonts w:hint="eastAsia"/>
                <w:color w:val="auto"/>
              </w:rPr>
              <w:t>2、</w:t>
            </w:r>
            <w:r>
              <w:rPr>
                <w:color w:val="auto"/>
              </w:rPr>
              <w:t>环境空气保护目标</w:t>
            </w:r>
          </w:p>
          <w:p>
            <w:pPr>
              <w:topLinePunct/>
              <w:ind w:firstLine="480"/>
              <w:rPr>
                <w:color w:val="auto"/>
              </w:rPr>
            </w:pPr>
            <w:r>
              <w:rPr>
                <w:color w:val="auto"/>
              </w:rPr>
              <w:t>保护评价区内的环境空气质量达到《环境空气质量标准》</w:t>
            </w:r>
            <w:r>
              <w:rPr>
                <w:rFonts w:hint="eastAsia"/>
                <w:color w:val="auto"/>
              </w:rPr>
              <w:t>（</w:t>
            </w:r>
            <w:r>
              <w:rPr>
                <w:color w:val="auto"/>
              </w:rPr>
              <w:t>GB3095-2012</w:t>
            </w:r>
            <w:r>
              <w:rPr>
                <w:rFonts w:hint="eastAsia"/>
                <w:color w:val="auto"/>
              </w:rPr>
              <w:t>）</w:t>
            </w:r>
            <w:r>
              <w:rPr>
                <w:color w:val="auto"/>
              </w:rPr>
              <w:t>及其2018年修改单二级标准。</w:t>
            </w:r>
          </w:p>
          <w:p>
            <w:pPr>
              <w:pStyle w:val="55"/>
              <w:topLinePunct/>
              <w:ind w:firstLine="482"/>
              <w:rPr>
                <w:color w:val="auto"/>
              </w:rPr>
            </w:pPr>
            <w:r>
              <w:rPr>
                <w:rFonts w:hint="eastAsia"/>
                <w:color w:val="auto"/>
              </w:rPr>
              <w:t>3、</w:t>
            </w:r>
            <w:r>
              <w:rPr>
                <w:color w:val="auto"/>
              </w:rPr>
              <w:t>声环境保护目标</w:t>
            </w:r>
          </w:p>
          <w:p>
            <w:pPr>
              <w:topLinePunct/>
              <w:ind w:firstLine="480"/>
              <w:rPr>
                <w:color w:val="auto"/>
              </w:rPr>
            </w:pPr>
            <w:r>
              <w:rPr>
                <w:color w:val="auto"/>
              </w:rPr>
              <w:t>保护评价区内声环境质量状况符合《声环境质量标准》（GB3096-2008）中</w:t>
            </w:r>
            <w:r>
              <w:rPr>
                <w:rFonts w:hint="eastAsia"/>
                <w:color w:val="auto"/>
              </w:rPr>
              <w:t>2</w:t>
            </w:r>
            <w:r>
              <w:rPr>
                <w:color w:val="auto"/>
              </w:rPr>
              <w:t>类标准。</w:t>
            </w:r>
          </w:p>
          <w:p>
            <w:pPr>
              <w:pStyle w:val="55"/>
              <w:ind w:firstLine="482"/>
              <w:rPr>
                <w:color w:val="auto"/>
              </w:rPr>
            </w:pPr>
            <w:r>
              <w:rPr>
                <w:rFonts w:hint="eastAsia"/>
                <w:color w:val="auto"/>
              </w:rPr>
              <w:t>4、生态</w:t>
            </w:r>
            <w:r>
              <w:rPr>
                <w:color w:val="auto"/>
              </w:rPr>
              <w:t>环境保护目标</w:t>
            </w:r>
          </w:p>
          <w:p>
            <w:pPr>
              <w:pStyle w:val="2"/>
              <w:spacing w:line="360" w:lineRule="auto"/>
              <w:ind w:firstLine="480" w:firstLineChars="200"/>
              <w:rPr>
                <w:color w:val="auto"/>
              </w:rPr>
            </w:pPr>
            <w:r>
              <w:rPr>
                <w:rFonts w:hint="eastAsia"/>
                <w:color w:val="auto"/>
              </w:rPr>
              <w:t>保护评价区内的生态环境维持现状，不会因项目建设运营而改变。</w:t>
            </w:r>
          </w:p>
          <w:p>
            <w:pPr>
              <w:pStyle w:val="55"/>
              <w:ind w:firstLine="482"/>
              <w:rPr>
                <w:color w:val="auto"/>
              </w:rPr>
            </w:pPr>
            <w:r>
              <w:rPr>
                <w:rFonts w:hint="eastAsia"/>
                <w:color w:val="auto"/>
                <w:lang w:val="en-US" w:eastAsia="zh-CN"/>
              </w:rPr>
              <w:t>5</w:t>
            </w:r>
            <w:r>
              <w:rPr>
                <w:color w:val="auto"/>
              </w:rPr>
              <w:t>、环境保护目标</w:t>
            </w:r>
          </w:p>
          <w:p>
            <w:pPr>
              <w:ind w:firstLine="480"/>
              <w:rPr>
                <w:color w:val="auto"/>
              </w:rPr>
            </w:pPr>
            <w:r>
              <w:rPr>
                <w:rFonts w:hint="eastAsia"/>
                <w:color w:val="auto"/>
              </w:rPr>
              <w:t>本工程评价范围内环境敏感保护目标见下表。</w:t>
            </w:r>
          </w:p>
          <w:p>
            <w:pPr>
              <w:pStyle w:val="56"/>
              <w:rPr>
                <w:color w:val="auto"/>
              </w:rPr>
            </w:pPr>
            <w:r>
              <w:rPr>
                <w:color w:val="auto"/>
              </w:rPr>
              <w:t>表</w:t>
            </w:r>
            <w:r>
              <w:rPr>
                <w:rFonts w:hint="eastAsia"/>
                <w:color w:val="auto"/>
                <w:lang w:val="en-US" w:eastAsia="zh-CN"/>
              </w:rPr>
              <w:t>3-7</w:t>
            </w:r>
            <w:r>
              <w:rPr>
                <w:color w:val="auto"/>
              </w:rPr>
              <w:t xml:space="preserve">  项目环境保护目标的情况</w:t>
            </w:r>
          </w:p>
          <w:tbl>
            <w:tblPr>
              <w:tblStyle w:val="39"/>
              <w:tblW w:w="852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120"/>
              <w:gridCol w:w="995"/>
              <w:gridCol w:w="1138"/>
              <w:gridCol w:w="1849"/>
              <w:gridCol w:w="1280"/>
              <w:gridCol w:w="213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Merge w:val="restart"/>
                  <w:vAlign w:val="center"/>
                </w:tcPr>
                <w:p>
                  <w:pPr>
                    <w:pStyle w:val="57"/>
                    <w:rPr>
                      <w:color w:val="auto"/>
                    </w:rPr>
                  </w:pPr>
                  <w:r>
                    <w:rPr>
                      <w:rFonts w:hint="eastAsia"/>
                      <w:color w:val="auto"/>
                    </w:rPr>
                    <w:t>保护</w:t>
                  </w:r>
                  <w:r>
                    <w:rPr>
                      <w:color w:val="auto"/>
                    </w:rPr>
                    <w:t>目标</w:t>
                  </w:r>
                </w:p>
              </w:tc>
              <w:tc>
                <w:tcPr>
                  <w:tcW w:w="2133" w:type="dxa"/>
                  <w:gridSpan w:val="2"/>
                  <w:vAlign w:val="center"/>
                </w:tcPr>
                <w:p>
                  <w:pPr>
                    <w:pStyle w:val="57"/>
                    <w:rPr>
                      <w:color w:val="auto"/>
                    </w:rPr>
                  </w:pPr>
                  <w:r>
                    <w:rPr>
                      <w:color w:val="auto"/>
                    </w:rPr>
                    <w:t>坐标</w:t>
                  </w:r>
                </w:p>
              </w:tc>
              <w:tc>
                <w:tcPr>
                  <w:tcW w:w="1849" w:type="dxa"/>
                  <w:vMerge w:val="restart"/>
                  <w:tcMar>
                    <w:left w:w="0" w:type="dxa"/>
                    <w:right w:w="0" w:type="dxa"/>
                  </w:tcMar>
                  <w:vAlign w:val="center"/>
                </w:tcPr>
                <w:p>
                  <w:pPr>
                    <w:pStyle w:val="57"/>
                    <w:rPr>
                      <w:color w:val="auto"/>
                    </w:rPr>
                  </w:pPr>
                  <w:r>
                    <w:rPr>
                      <w:color w:val="auto"/>
                    </w:rPr>
                    <w:t>功能以及规模</w:t>
                  </w:r>
                </w:p>
              </w:tc>
              <w:tc>
                <w:tcPr>
                  <w:tcW w:w="1280" w:type="dxa"/>
                  <w:vMerge w:val="restart"/>
                  <w:tcMar>
                    <w:left w:w="0" w:type="dxa"/>
                    <w:right w:w="0" w:type="dxa"/>
                  </w:tcMar>
                  <w:vAlign w:val="center"/>
                </w:tcPr>
                <w:p>
                  <w:pPr>
                    <w:pStyle w:val="57"/>
                    <w:rPr>
                      <w:color w:val="auto"/>
                    </w:rPr>
                  </w:pPr>
                  <w:r>
                    <w:rPr>
                      <w:color w:val="auto"/>
                    </w:rPr>
                    <w:t>保护级别</w:t>
                  </w:r>
                </w:p>
              </w:tc>
              <w:tc>
                <w:tcPr>
                  <w:tcW w:w="2138" w:type="dxa"/>
                  <w:vMerge w:val="restart"/>
                  <w:vAlign w:val="center"/>
                </w:tcPr>
                <w:p>
                  <w:pPr>
                    <w:pStyle w:val="57"/>
                    <w:rPr>
                      <w:color w:val="auto"/>
                    </w:rPr>
                  </w:pPr>
                  <w:r>
                    <w:rPr>
                      <w:color w:val="auto"/>
                    </w:rPr>
                    <w:t>相对水</w:t>
                  </w:r>
                  <w:r>
                    <w:rPr>
                      <w:rFonts w:hint="eastAsia"/>
                      <w:color w:val="auto"/>
                      <w:lang w:eastAsia="zh-CN"/>
                    </w:rPr>
                    <w:t>厂</w:t>
                  </w:r>
                  <w:r>
                    <w:rPr>
                      <w:color w:val="auto"/>
                    </w:rPr>
                    <w:t>方位、距离m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Merge w:val="continue"/>
                  <w:vAlign w:val="center"/>
                </w:tcPr>
                <w:p>
                  <w:pPr>
                    <w:pStyle w:val="57"/>
                    <w:rPr>
                      <w:color w:val="auto"/>
                    </w:rPr>
                  </w:pPr>
                </w:p>
              </w:tc>
              <w:tc>
                <w:tcPr>
                  <w:tcW w:w="995" w:type="dxa"/>
                  <w:vAlign w:val="center"/>
                </w:tcPr>
                <w:p>
                  <w:pPr>
                    <w:pStyle w:val="57"/>
                    <w:rPr>
                      <w:b/>
                      <w:bCs/>
                      <w:color w:val="auto"/>
                    </w:rPr>
                  </w:pPr>
                  <w:r>
                    <w:rPr>
                      <w:b/>
                      <w:bCs/>
                      <w:color w:val="auto"/>
                    </w:rPr>
                    <w:t>X</w:t>
                  </w:r>
                  <w:r>
                    <w:rPr>
                      <w:rFonts w:hint="eastAsia"/>
                      <w:b/>
                      <w:bCs/>
                      <w:color w:val="auto"/>
                    </w:rPr>
                    <w:t>/m</w:t>
                  </w:r>
                </w:p>
              </w:tc>
              <w:tc>
                <w:tcPr>
                  <w:tcW w:w="1138" w:type="dxa"/>
                  <w:vAlign w:val="center"/>
                </w:tcPr>
                <w:p>
                  <w:pPr>
                    <w:pStyle w:val="57"/>
                    <w:rPr>
                      <w:b/>
                      <w:bCs/>
                      <w:color w:val="auto"/>
                    </w:rPr>
                  </w:pPr>
                  <w:r>
                    <w:rPr>
                      <w:b/>
                      <w:bCs/>
                      <w:color w:val="auto"/>
                    </w:rPr>
                    <w:t>Y</w:t>
                  </w:r>
                  <w:r>
                    <w:rPr>
                      <w:rFonts w:hint="eastAsia"/>
                      <w:b/>
                      <w:bCs/>
                      <w:color w:val="auto"/>
                    </w:rPr>
                    <w:t>/m</w:t>
                  </w:r>
                </w:p>
              </w:tc>
              <w:tc>
                <w:tcPr>
                  <w:tcW w:w="1849" w:type="dxa"/>
                  <w:vMerge w:val="continue"/>
                  <w:tcMar>
                    <w:left w:w="0" w:type="dxa"/>
                    <w:right w:w="0" w:type="dxa"/>
                  </w:tcMar>
                  <w:vAlign w:val="center"/>
                </w:tcPr>
                <w:p>
                  <w:pPr>
                    <w:pStyle w:val="57"/>
                    <w:rPr>
                      <w:color w:val="auto"/>
                    </w:rPr>
                  </w:pPr>
                </w:p>
              </w:tc>
              <w:tc>
                <w:tcPr>
                  <w:tcW w:w="1280" w:type="dxa"/>
                  <w:vMerge w:val="continue"/>
                  <w:tcMar>
                    <w:left w:w="0" w:type="dxa"/>
                    <w:right w:w="0" w:type="dxa"/>
                  </w:tcMar>
                  <w:vAlign w:val="center"/>
                </w:tcPr>
                <w:p>
                  <w:pPr>
                    <w:pStyle w:val="57"/>
                    <w:rPr>
                      <w:color w:val="auto"/>
                    </w:rPr>
                  </w:pPr>
                </w:p>
              </w:tc>
              <w:tc>
                <w:tcPr>
                  <w:tcW w:w="2138" w:type="dxa"/>
                  <w:vMerge w:val="continue"/>
                  <w:vAlign w:val="center"/>
                </w:tcPr>
                <w:p>
                  <w:pPr>
                    <w:pStyle w:val="57"/>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Align w:val="center"/>
                </w:tcPr>
                <w:p>
                  <w:pPr>
                    <w:pStyle w:val="57"/>
                    <w:rPr>
                      <w:color w:val="auto"/>
                    </w:rPr>
                  </w:pPr>
                  <w:r>
                    <w:rPr>
                      <w:rFonts w:hint="eastAsia"/>
                      <w:color w:val="auto"/>
                    </w:rPr>
                    <w:t>本工程</w:t>
                  </w:r>
                </w:p>
              </w:tc>
              <w:tc>
                <w:tcPr>
                  <w:tcW w:w="995" w:type="dxa"/>
                  <w:vAlign w:val="center"/>
                </w:tcPr>
                <w:p>
                  <w:pPr>
                    <w:pStyle w:val="57"/>
                    <w:rPr>
                      <w:color w:val="auto"/>
                    </w:rPr>
                  </w:pPr>
                  <w:r>
                    <w:rPr>
                      <w:rFonts w:hint="eastAsia"/>
                      <w:color w:val="auto"/>
                    </w:rPr>
                    <w:t>0</w:t>
                  </w:r>
                </w:p>
              </w:tc>
              <w:tc>
                <w:tcPr>
                  <w:tcW w:w="1138" w:type="dxa"/>
                  <w:vAlign w:val="center"/>
                </w:tcPr>
                <w:p>
                  <w:pPr>
                    <w:pStyle w:val="57"/>
                    <w:rPr>
                      <w:color w:val="auto"/>
                    </w:rPr>
                  </w:pPr>
                  <w:r>
                    <w:rPr>
                      <w:rFonts w:hint="eastAsia"/>
                      <w:color w:val="auto"/>
                    </w:rPr>
                    <w:t>0</w:t>
                  </w:r>
                </w:p>
              </w:tc>
              <w:tc>
                <w:tcPr>
                  <w:tcW w:w="1849" w:type="dxa"/>
                  <w:tcMar>
                    <w:left w:w="0" w:type="dxa"/>
                    <w:right w:w="0" w:type="dxa"/>
                  </w:tcMar>
                  <w:vAlign w:val="center"/>
                </w:tcPr>
                <w:p>
                  <w:pPr>
                    <w:pStyle w:val="57"/>
                    <w:rPr>
                      <w:color w:val="auto"/>
                    </w:rPr>
                  </w:pPr>
                  <w:r>
                    <w:rPr>
                      <w:rFonts w:hint="eastAsia"/>
                      <w:color w:val="auto"/>
                    </w:rPr>
                    <w:t>/</w:t>
                  </w:r>
                </w:p>
              </w:tc>
              <w:tc>
                <w:tcPr>
                  <w:tcW w:w="1280" w:type="dxa"/>
                  <w:tcMar>
                    <w:left w:w="0" w:type="dxa"/>
                    <w:right w:w="0" w:type="dxa"/>
                  </w:tcMar>
                  <w:vAlign w:val="center"/>
                </w:tcPr>
                <w:p>
                  <w:pPr>
                    <w:pStyle w:val="57"/>
                    <w:rPr>
                      <w:color w:val="auto"/>
                    </w:rPr>
                  </w:pPr>
                  <w:r>
                    <w:rPr>
                      <w:rFonts w:hint="eastAsia"/>
                      <w:color w:val="auto"/>
                    </w:rPr>
                    <w:t>/</w:t>
                  </w:r>
                </w:p>
              </w:tc>
              <w:tc>
                <w:tcPr>
                  <w:tcW w:w="2138" w:type="dxa"/>
                  <w:vAlign w:val="center"/>
                </w:tcPr>
                <w:p>
                  <w:pPr>
                    <w:pStyle w:val="57"/>
                    <w:rPr>
                      <w:color w:val="auto"/>
                      <w:szCs w:val="21"/>
                    </w:rPr>
                  </w:pPr>
                  <w:r>
                    <w:rPr>
                      <w:rFonts w:hint="eastAsia"/>
                      <w:color w:val="auto"/>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Align w:val="center"/>
                </w:tcPr>
                <w:p>
                  <w:pPr>
                    <w:pStyle w:val="57"/>
                    <w:rPr>
                      <w:rFonts w:hint="eastAsia"/>
                      <w:color w:val="auto"/>
                      <w:szCs w:val="22"/>
                    </w:rPr>
                  </w:pPr>
                  <w:r>
                    <w:rPr>
                      <w:rFonts w:hint="eastAsia"/>
                      <w:color w:val="auto"/>
                      <w:szCs w:val="22"/>
                      <w:lang w:eastAsia="zh-CN"/>
                    </w:rPr>
                    <w:t>西江镇</w:t>
                  </w:r>
                </w:p>
              </w:tc>
              <w:tc>
                <w:tcPr>
                  <w:tcW w:w="995" w:type="dxa"/>
                  <w:vAlign w:val="center"/>
                </w:tcPr>
                <w:p>
                  <w:pPr>
                    <w:pStyle w:val="57"/>
                    <w:rPr>
                      <w:color w:val="auto"/>
                    </w:rPr>
                  </w:pPr>
                  <w:r>
                    <w:rPr>
                      <w:rFonts w:hint="eastAsia"/>
                      <w:color w:val="auto"/>
                    </w:rPr>
                    <w:t>426</w:t>
                  </w:r>
                </w:p>
              </w:tc>
              <w:tc>
                <w:tcPr>
                  <w:tcW w:w="1138" w:type="dxa"/>
                  <w:vAlign w:val="center"/>
                </w:tcPr>
                <w:p>
                  <w:pPr>
                    <w:pStyle w:val="57"/>
                    <w:rPr>
                      <w:color w:val="auto"/>
                    </w:rPr>
                  </w:pPr>
                  <w:r>
                    <w:rPr>
                      <w:rFonts w:hint="eastAsia"/>
                      <w:color w:val="auto"/>
                    </w:rPr>
                    <w:t>159</w:t>
                  </w:r>
                </w:p>
              </w:tc>
              <w:tc>
                <w:tcPr>
                  <w:tcW w:w="1849" w:type="dxa"/>
                  <w:tcMar>
                    <w:left w:w="0" w:type="dxa"/>
                    <w:right w:w="0" w:type="dxa"/>
                  </w:tcMar>
                  <w:vAlign w:val="center"/>
                </w:tcPr>
                <w:p>
                  <w:pPr>
                    <w:pStyle w:val="57"/>
                    <w:rPr>
                      <w:color w:val="auto"/>
                    </w:rPr>
                  </w:pPr>
                  <w:r>
                    <w:rPr>
                      <w:rFonts w:hint="eastAsia"/>
                      <w:color w:val="auto"/>
                    </w:rPr>
                    <w:t>居住，1</w:t>
                  </w:r>
                  <w:r>
                    <w:rPr>
                      <w:rFonts w:hint="eastAsia"/>
                      <w:color w:val="auto"/>
                      <w:lang w:val="en-US" w:eastAsia="zh-CN"/>
                    </w:rPr>
                    <w:t>500</w:t>
                  </w:r>
                  <w:r>
                    <w:rPr>
                      <w:rFonts w:hint="eastAsia"/>
                      <w:color w:val="auto"/>
                    </w:rPr>
                    <w:t>人</w:t>
                  </w:r>
                </w:p>
              </w:tc>
              <w:tc>
                <w:tcPr>
                  <w:tcW w:w="1280" w:type="dxa"/>
                  <w:vMerge w:val="restart"/>
                  <w:tcMar>
                    <w:left w:w="0" w:type="dxa"/>
                    <w:right w:w="0" w:type="dxa"/>
                  </w:tcMar>
                  <w:vAlign w:val="center"/>
                </w:tcPr>
                <w:p>
                  <w:pPr>
                    <w:pStyle w:val="57"/>
                    <w:rPr>
                      <w:rFonts w:hint="eastAsia"/>
                      <w:color w:val="auto"/>
                      <w:lang w:eastAsia="zh-CN"/>
                    </w:rPr>
                  </w:pPr>
                  <w:r>
                    <w:rPr>
                      <w:rFonts w:hint="eastAsia"/>
                      <w:color w:val="auto"/>
                    </w:rPr>
                    <w:t>大气二类</w:t>
                  </w:r>
                  <w:r>
                    <w:rPr>
                      <w:rFonts w:hint="eastAsia"/>
                      <w:color w:val="auto"/>
                      <w:lang w:eastAsia="zh-CN"/>
                    </w:rPr>
                    <w:t>，</w:t>
                  </w:r>
                </w:p>
                <w:p>
                  <w:pPr>
                    <w:pStyle w:val="57"/>
                    <w:rPr>
                      <w:rFonts w:hint="default" w:eastAsia="宋体"/>
                      <w:color w:val="auto"/>
                      <w:lang w:val="en-US" w:eastAsia="zh-CN"/>
                    </w:rPr>
                  </w:pPr>
                  <w:r>
                    <w:rPr>
                      <w:rFonts w:hint="eastAsia"/>
                      <w:color w:val="auto"/>
                      <w:lang w:eastAsia="zh-CN"/>
                    </w:rPr>
                    <w:t>声环境</w:t>
                  </w:r>
                  <w:r>
                    <w:rPr>
                      <w:rFonts w:hint="eastAsia"/>
                      <w:color w:val="auto"/>
                      <w:lang w:val="en-US" w:eastAsia="zh-CN"/>
                    </w:rPr>
                    <w:t>2类</w:t>
                  </w:r>
                </w:p>
              </w:tc>
              <w:tc>
                <w:tcPr>
                  <w:tcW w:w="2138" w:type="dxa"/>
                  <w:vAlign w:val="center"/>
                </w:tcPr>
                <w:p>
                  <w:pPr>
                    <w:pStyle w:val="57"/>
                    <w:rPr>
                      <w:color w:val="auto"/>
                    </w:rPr>
                  </w:pPr>
                  <w:r>
                    <w:rPr>
                      <w:rFonts w:hint="eastAsia"/>
                      <w:color w:val="auto"/>
                    </w:rPr>
                    <w:t>西</w:t>
                  </w:r>
                  <w:r>
                    <w:rPr>
                      <w:color w:val="auto"/>
                      <w:szCs w:val="21"/>
                    </w:rPr>
                    <w:t>北，</w:t>
                  </w:r>
                  <w:r>
                    <w:rPr>
                      <w:rFonts w:hint="eastAsia"/>
                      <w:color w:val="auto"/>
                      <w:szCs w:val="21"/>
                      <w:lang w:val="en-US" w:eastAsia="zh-CN"/>
                    </w:rPr>
                    <w:t>400</w:t>
                  </w:r>
                  <w:r>
                    <w:rPr>
                      <w:color w:val="auto"/>
                      <w:szCs w:val="21"/>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Align w:val="center"/>
                </w:tcPr>
                <w:p>
                  <w:pPr>
                    <w:pStyle w:val="57"/>
                    <w:rPr>
                      <w:rFonts w:hint="eastAsia"/>
                      <w:color w:val="auto"/>
                      <w:szCs w:val="22"/>
                    </w:rPr>
                  </w:pPr>
                  <w:r>
                    <w:rPr>
                      <w:rFonts w:hint="eastAsia"/>
                      <w:color w:val="auto"/>
                      <w:szCs w:val="22"/>
                      <w:lang w:eastAsia="zh-CN"/>
                    </w:rPr>
                    <w:t>蔗糖</w:t>
                  </w:r>
                </w:p>
              </w:tc>
              <w:tc>
                <w:tcPr>
                  <w:tcW w:w="995" w:type="dxa"/>
                  <w:vAlign w:val="center"/>
                </w:tcPr>
                <w:p>
                  <w:pPr>
                    <w:pStyle w:val="57"/>
                    <w:rPr>
                      <w:color w:val="auto"/>
                    </w:rPr>
                  </w:pPr>
                  <w:r>
                    <w:rPr>
                      <w:rFonts w:hint="eastAsia"/>
                      <w:color w:val="auto"/>
                    </w:rPr>
                    <w:t>-261</w:t>
                  </w:r>
                </w:p>
              </w:tc>
              <w:tc>
                <w:tcPr>
                  <w:tcW w:w="1138" w:type="dxa"/>
                  <w:vAlign w:val="center"/>
                </w:tcPr>
                <w:p>
                  <w:pPr>
                    <w:pStyle w:val="57"/>
                    <w:rPr>
                      <w:color w:val="auto"/>
                    </w:rPr>
                  </w:pPr>
                  <w:r>
                    <w:rPr>
                      <w:rFonts w:hint="eastAsia"/>
                      <w:color w:val="auto"/>
                    </w:rPr>
                    <w:t>689</w:t>
                  </w:r>
                </w:p>
              </w:tc>
              <w:tc>
                <w:tcPr>
                  <w:tcW w:w="1849" w:type="dxa"/>
                  <w:tcMar>
                    <w:left w:w="0" w:type="dxa"/>
                    <w:right w:w="0" w:type="dxa"/>
                  </w:tcMar>
                  <w:vAlign w:val="center"/>
                </w:tcPr>
                <w:p>
                  <w:pPr>
                    <w:pStyle w:val="57"/>
                    <w:rPr>
                      <w:color w:val="auto"/>
                    </w:rPr>
                  </w:pPr>
                  <w:r>
                    <w:rPr>
                      <w:rFonts w:hint="eastAsia"/>
                      <w:color w:val="auto"/>
                    </w:rPr>
                    <w:t>居住，</w:t>
                  </w:r>
                  <w:r>
                    <w:rPr>
                      <w:rFonts w:hint="eastAsia"/>
                      <w:color w:val="auto"/>
                      <w:lang w:val="en-US" w:eastAsia="zh-CN"/>
                    </w:rPr>
                    <w:t>70</w:t>
                  </w:r>
                  <w:r>
                    <w:rPr>
                      <w:rFonts w:hint="eastAsia"/>
                      <w:color w:val="auto"/>
                    </w:rPr>
                    <w:t>人</w:t>
                  </w:r>
                </w:p>
              </w:tc>
              <w:tc>
                <w:tcPr>
                  <w:tcW w:w="1280" w:type="dxa"/>
                  <w:vMerge w:val="continue"/>
                  <w:tcMar>
                    <w:left w:w="0" w:type="dxa"/>
                    <w:right w:w="0" w:type="dxa"/>
                  </w:tcMar>
                  <w:vAlign w:val="center"/>
                </w:tcPr>
                <w:p>
                  <w:pPr>
                    <w:pStyle w:val="57"/>
                    <w:rPr>
                      <w:color w:val="auto"/>
                    </w:rPr>
                  </w:pPr>
                </w:p>
              </w:tc>
              <w:tc>
                <w:tcPr>
                  <w:tcW w:w="2138" w:type="dxa"/>
                  <w:vAlign w:val="center"/>
                </w:tcPr>
                <w:p>
                  <w:pPr>
                    <w:pStyle w:val="57"/>
                    <w:rPr>
                      <w:color w:val="auto"/>
                    </w:rPr>
                  </w:pPr>
                  <w:r>
                    <w:rPr>
                      <w:rFonts w:hint="eastAsia"/>
                      <w:color w:val="auto"/>
                      <w:lang w:eastAsia="zh-CN"/>
                    </w:rPr>
                    <w:t>北</w:t>
                  </w:r>
                  <w:r>
                    <w:rPr>
                      <w:color w:val="auto"/>
                      <w:szCs w:val="21"/>
                    </w:rPr>
                    <w:t>，约</w:t>
                  </w:r>
                  <w:r>
                    <w:rPr>
                      <w:rFonts w:hint="eastAsia"/>
                      <w:color w:val="auto"/>
                      <w:szCs w:val="21"/>
                      <w:lang w:val="en-US" w:eastAsia="zh-CN"/>
                    </w:rPr>
                    <w:t>650</w:t>
                  </w:r>
                  <w:r>
                    <w:rPr>
                      <w:color w:val="auto"/>
                      <w:szCs w:val="21"/>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Align w:val="center"/>
                </w:tcPr>
                <w:p>
                  <w:pPr>
                    <w:pStyle w:val="57"/>
                    <w:rPr>
                      <w:rFonts w:hint="eastAsia"/>
                      <w:color w:val="auto"/>
                      <w:szCs w:val="22"/>
                    </w:rPr>
                  </w:pPr>
                  <w:r>
                    <w:rPr>
                      <w:rFonts w:hint="eastAsia"/>
                      <w:color w:val="auto"/>
                      <w:szCs w:val="22"/>
                      <w:lang w:eastAsia="zh-CN"/>
                    </w:rPr>
                    <w:t>外塘村</w:t>
                  </w:r>
                </w:p>
              </w:tc>
              <w:tc>
                <w:tcPr>
                  <w:tcW w:w="995" w:type="dxa"/>
                  <w:vAlign w:val="center"/>
                </w:tcPr>
                <w:p>
                  <w:pPr>
                    <w:pStyle w:val="57"/>
                    <w:rPr>
                      <w:color w:val="auto"/>
                    </w:rPr>
                  </w:pPr>
                  <w:r>
                    <w:rPr>
                      <w:rFonts w:hint="eastAsia"/>
                      <w:color w:val="auto"/>
                    </w:rPr>
                    <w:t>-1254</w:t>
                  </w:r>
                </w:p>
              </w:tc>
              <w:tc>
                <w:tcPr>
                  <w:tcW w:w="1138" w:type="dxa"/>
                  <w:vAlign w:val="center"/>
                </w:tcPr>
                <w:p>
                  <w:pPr>
                    <w:pStyle w:val="57"/>
                    <w:rPr>
                      <w:color w:val="auto"/>
                    </w:rPr>
                  </w:pPr>
                  <w:r>
                    <w:rPr>
                      <w:rFonts w:hint="eastAsia"/>
                      <w:color w:val="auto"/>
                    </w:rPr>
                    <w:t>577</w:t>
                  </w:r>
                </w:p>
              </w:tc>
              <w:tc>
                <w:tcPr>
                  <w:tcW w:w="1849" w:type="dxa"/>
                  <w:tcMar>
                    <w:left w:w="0" w:type="dxa"/>
                    <w:right w:w="0" w:type="dxa"/>
                  </w:tcMar>
                  <w:vAlign w:val="center"/>
                </w:tcPr>
                <w:p>
                  <w:pPr>
                    <w:pStyle w:val="57"/>
                    <w:rPr>
                      <w:color w:val="auto"/>
                    </w:rPr>
                  </w:pPr>
                  <w:r>
                    <w:rPr>
                      <w:rFonts w:hint="eastAsia"/>
                      <w:color w:val="auto"/>
                    </w:rPr>
                    <w:t>居住，</w:t>
                  </w:r>
                  <w:r>
                    <w:rPr>
                      <w:rFonts w:hint="eastAsia"/>
                      <w:color w:val="auto"/>
                      <w:lang w:val="en-US" w:eastAsia="zh-CN"/>
                    </w:rPr>
                    <w:t>120</w:t>
                  </w:r>
                  <w:r>
                    <w:rPr>
                      <w:rFonts w:hint="eastAsia"/>
                      <w:color w:val="auto"/>
                    </w:rPr>
                    <w:t>人</w:t>
                  </w:r>
                </w:p>
              </w:tc>
              <w:tc>
                <w:tcPr>
                  <w:tcW w:w="1280" w:type="dxa"/>
                  <w:vMerge w:val="continue"/>
                  <w:tcMar>
                    <w:left w:w="0" w:type="dxa"/>
                    <w:right w:w="0" w:type="dxa"/>
                  </w:tcMar>
                  <w:vAlign w:val="center"/>
                </w:tcPr>
                <w:p>
                  <w:pPr>
                    <w:pStyle w:val="57"/>
                    <w:rPr>
                      <w:color w:val="auto"/>
                    </w:rPr>
                  </w:pPr>
                </w:p>
              </w:tc>
              <w:tc>
                <w:tcPr>
                  <w:tcW w:w="2138" w:type="dxa"/>
                  <w:tcMar>
                    <w:left w:w="0" w:type="dxa"/>
                    <w:right w:w="0" w:type="dxa"/>
                  </w:tcMar>
                  <w:vAlign w:val="center"/>
                </w:tcPr>
                <w:p>
                  <w:pPr>
                    <w:pStyle w:val="57"/>
                    <w:rPr>
                      <w:color w:val="auto"/>
                    </w:rPr>
                  </w:pPr>
                  <w:r>
                    <w:rPr>
                      <w:rFonts w:hint="eastAsia"/>
                      <w:color w:val="auto"/>
                    </w:rPr>
                    <w:t>西</w:t>
                  </w:r>
                  <w:r>
                    <w:rPr>
                      <w:rFonts w:hint="eastAsia"/>
                      <w:color w:val="auto"/>
                      <w:kern w:val="0"/>
                      <w:szCs w:val="21"/>
                      <w:lang w:eastAsia="zh-CN"/>
                    </w:rPr>
                    <w:t>北</w:t>
                  </w:r>
                  <w:r>
                    <w:rPr>
                      <w:color w:val="auto"/>
                      <w:kern w:val="0"/>
                      <w:szCs w:val="21"/>
                    </w:rPr>
                    <w:t>，</w:t>
                  </w:r>
                  <w:r>
                    <w:rPr>
                      <w:rFonts w:hint="eastAsia"/>
                      <w:color w:val="auto"/>
                      <w:kern w:val="0"/>
                      <w:szCs w:val="21"/>
                      <w:lang w:val="en-US" w:eastAsia="zh-CN"/>
                    </w:rPr>
                    <w:t>1400</w:t>
                  </w:r>
                  <w:r>
                    <w:rPr>
                      <w:color w:val="auto"/>
                      <w:kern w:val="0"/>
                      <w:szCs w:val="21"/>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Align w:val="center"/>
                </w:tcPr>
                <w:p>
                  <w:pPr>
                    <w:pStyle w:val="57"/>
                    <w:rPr>
                      <w:rFonts w:hint="eastAsia" w:eastAsia="宋体"/>
                      <w:color w:val="auto"/>
                      <w:lang w:eastAsia="zh-CN"/>
                    </w:rPr>
                  </w:pPr>
                  <w:r>
                    <w:rPr>
                      <w:rFonts w:hint="eastAsia"/>
                      <w:color w:val="auto"/>
                      <w:lang w:eastAsia="zh-CN"/>
                    </w:rPr>
                    <w:t>西江水</w:t>
                  </w:r>
                </w:p>
              </w:tc>
              <w:tc>
                <w:tcPr>
                  <w:tcW w:w="995" w:type="dxa"/>
                  <w:vAlign w:val="center"/>
                </w:tcPr>
                <w:p>
                  <w:pPr>
                    <w:pStyle w:val="57"/>
                    <w:rPr>
                      <w:color w:val="auto"/>
                    </w:rPr>
                  </w:pPr>
                  <w:r>
                    <w:rPr>
                      <w:color w:val="auto"/>
                    </w:rPr>
                    <w:t>/</w:t>
                  </w:r>
                </w:p>
              </w:tc>
              <w:tc>
                <w:tcPr>
                  <w:tcW w:w="1138" w:type="dxa"/>
                  <w:vAlign w:val="center"/>
                </w:tcPr>
                <w:p>
                  <w:pPr>
                    <w:pStyle w:val="57"/>
                    <w:rPr>
                      <w:color w:val="auto"/>
                    </w:rPr>
                  </w:pPr>
                  <w:r>
                    <w:rPr>
                      <w:color w:val="auto"/>
                    </w:rPr>
                    <w:t>/</w:t>
                  </w:r>
                </w:p>
              </w:tc>
              <w:tc>
                <w:tcPr>
                  <w:tcW w:w="1849" w:type="dxa"/>
                  <w:tcMar>
                    <w:left w:w="0" w:type="dxa"/>
                    <w:right w:w="0" w:type="dxa"/>
                  </w:tcMar>
                  <w:vAlign w:val="center"/>
                </w:tcPr>
                <w:p>
                  <w:pPr>
                    <w:pStyle w:val="57"/>
                    <w:rPr>
                      <w:color w:val="auto"/>
                    </w:rPr>
                  </w:pPr>
                  <w:r>
                    <w:rPr>
                      <w:rFonts w:hint="eastAsia"/>
                      <w:color w:val="auto"/>
                    </w:rPr>
                    <w:t>河流</w:t>
                  </w:r>
                </w:p>
              </w:tc>
              <w:tc>
                <w:tcPr>
                  <w:tcW w:w="1280" w:type="dxa"/>
                  <w:tcMar>
                    <w:left w:w="0" w:type="dxa"/>
                    <w:right w:w="0" w:type="dxa"/>
                  </w:tcMar>
                  <w:vAlign w:val="center"/>
                </w:tcPr>
                <w:p>
                  <w:pPr>
                    <w:pStyle w:val="57"/>
                    <w:rPr>
                      <w:color w:val="auto"/>
                    </w:rPr>
                  </w:pPr>
                  <w:r>
                    <w:rPr>
                      <w:rFonts w:hint="eastAsia"/>
                      <w:color w:val="auto"/>
                    </w:rPr>
                    <w:t>地表水</w:t>
                  </w:r>
                  <w:r>
                    <w:rPr>
                      <w:rFonts w:hint="eastAsia" w:ascii="Times New Roman" w:hAnsi="Times New Roman" w:eastAsia="宋体" w:cstheme="minorBidi"/>
                      <w:color w:val="auto"/>
                      <w:szCs w:val="22"/>
                    </w:rPr>
                    <w:t>Ⅱ</w:t>
                  </w:r>
                  <w:r>
                    <w:rPr>
                      <w:rFonts w:hint="eastAsia"/>
                      <w:color w:val="auto"/>
                      <w:szCs w:val="22"/>
                    </w:rPr>
                    <w:t>类</w:t>
                  </w:r>
                </w:p>
              </w:tc>
              <w:tc>
                <w:tcPr>
                  <w:tcW w:w="2138" w:type="dxa"/>
                  <w:tcMar>
                    <w:left w:w="0" w:type="dxa"/>
                    <w:right w:w="0" w:type="dxa"/>
                  </w:tcMar>
                  <w:vAlign w:val="center"/>
                </w:tcPr>
                <w:p>
                  <w:pPr>
                    <w:pStyle w:val="57"/>
                    <w:rPr>
                      <w:color w:val="auto"/>
                    </w:rPr>
                  </w:pPr>
                  <w:r>
                    <w:rPr>
                      <w:rFonts w:hint="eastAsia"/>
                      <w:color w:val="auto"/>
                      <w:lang w:eastAsia="zh-CN"/>
                    </w:rPr>
                    <w:t>北，</w:t>
                  </w:r>
                  <w:r>
                    <w:rPr>
                      <w:rFonts w:hint="eastAsia"/>
                      <w:color w:val="auto"/>
                      <w:lang w:val="en-US" w:eastAsia="zh-CN"/>
                    </w:rPr>
                    <w:t>335</w:t>
                  </w:r>
                  <w:r>
                    <w:rPr>
                      <w:rFonts w:hint="eastAsia"/>
                      <w:color w:val="auto"/>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120" w:type="dxa"/>
                  <w:vAlign w:val="center"/>
                </w:tcPr>
                <w:p>
                  <w:pPr>
                    <w:pStyle w:val="57"/>
                    <w:rPr>
                      <w:color w:val="auto"/>
                      <w:szCs w:val="21"/>
                    </w:rPr>
                  </w:pPr>
                  <w:r>
                    <w:rPr>
                      <w:rFonts w:hint="eastAsia"/>
                      <w:color w:val="auto"/>
                      <w:lang w:eastAsia="zh-CN"/>
                    </w:rPr>
                    <w:t>八一</w:t>
                  </w:r>
                  <w:r>
                    <w:rPr>
                      <w:rFonts w:hint="eastAsia"/>
                      <w:color w:val="auto"/>
                    </w:rPr>
                    <w:t>水库</w:t>
                  </w:r>
                </w:p>
              </w:tc>
              <w:tc>
                <w:tcPr>
                  <w:tcW w:w="995" w:type="dxa"/>
                  <w:vAlign w:val="center"/>
                </w:tcPr>
                <w:p>
                  <w:pPr>
                    <w:pStyle w:val="57"/>
                    <w:rPr>
                      <w:color w:val="auto"/>
                    </w:rPr>
                  </w:pPr>
                  <w:r>
                    <w:rPr>
                      <w:rFonts w:hint="eastAsia"/>
                      <w:color w:val="auto"/>
                    </w:rPr>
                    <w:t>-507</w:t>
                  </w:r>
                </w:p>
              </w:tc>
              <w:tc>
                <w:tcPr>
                  <w:tcW w:w="1138" w:type="dxa"/>
                  <w:vAlign w:val="center"/>
                </w:tcPr>
                <w:p>
                  <w:pPr>
                    <w:pStyle w:val="57"/>
                    <w:rPr>
                      <w:color w:val="auto"/>
                    </w:rPr>
                  </w:pPr>
                  <w:r>
                    <w:rPr>
                      <w:rFonts w:hint="eastAsia"/>
                      <w:color w:val="auto"/>
                    </w:rPr>
                    <w:t>-1999</w:t>
                  </w:r>
                </w:p>
              </w:tc>
              <w:tc>
                <w:tcPr>
                  <w:tcW w:w="1849" w:type="dxa"/>
                  <w:tcMar>
                    <w:left w:w="0" w:type="dxa"/>
                    <w:right w:w="0" w:type="dxa"/>
                  </w:tcMar>
                  <w:vAlign w:val="center"/>
                </w:tcPr>
                <w:p>
                  <w:pPr>
                    <w:pStyle w:val="57"/>
                    <w:rPr>
                      <w:color w:val="auto"/>
                    </w:rPr>
                  </w:pPr>
                  <w:r>
                    <w:rPr>
                      <w:rFonts w:hint="eastAsia"/>
                      <w:color w:val="auto"/>
                    </w:rPr>
                    <w:t>水库</w:t>
                  </w:r>
                </w:p>
              </w:tc>
              <w:tc>
                <w:tcPr>
                  <w:tcW w:w="1280" w:type="dxa"/>
                  <w:tcMar>
                    <w:left w:w="0" w:type="dxa"/>
                    <w:right w:w="0" w:type="dxa"/>
                  </w:tcMar>
                  <w:vAlign w:val="center"/>
                </w:tcPr>
                <w:p>
                  <w:pPr>
                    <w:pStyle w:val="57"/>
                    <w:rPr>
                      <w:color w:val="auto"/>
                    </w:rPr>
                  </w:pPr>
                  <w:r>
                    <w:rPr>
                      <w:rFonts w:hint="eastAsia"/>
                      <w:color w:val="auto"/>
                      <w:lang w:eastAsia="zh-CN"/>
                    </w:rPr>
                    <w:t>参考</w:t>
                  </w:r>
                  <w:r>
                    <w:rPr>
                      <w:rFonts w:hint="eastAsia"/>
                      <w:color w:val="auto"/>
                    </w:rPr>
                    <w:t>地表水</w:t>
                  </w:r>
                  <w:r>
                    <w:rPr>
                      <w:rFonts w:hint="eastAsia" w:ascii="Times New Roman" w:hAnsi="Times New Roman" w:eastAsia="宋体" w:cstheme="minorBidi"/>
                      <w:color w:val="auto"/>
                      <w:szCs w:val="22"/>
                    </w:rPr>
                    <w:t>Ⅱ</w:t>
                  </w:r>
                  <w:r>
                    <w:rPr>
                      <w:rFonts w:hint="eastAsia"/>
                      <w:color w:val="auto"/>
                      <w:szCs w:val="22"/>
                    </w:rPr>
                    <w:t>类</w:t>
                  </w:r>
                </w:p>
              </w:tc>
              <w:tc>
                <w:tcPr>
                  <w:tcW w:w="2138" w:type="dxa"/>
                  <w:tcMar>
                    <w:left w:w="0" w:type="dxa"/>
                    <w:right w:w="0" w:type="dxa"/>
                  </w:tcMar>
                  <w:vAlign w:val="center"/>
                </w:tcPr>
                <w:p>
                  <w:pPr>
                    <w:pStyle w:val="57"/>
                    <w:rPr>
                      <w:color w:val="auto"/>
                    </w:rPr>
                  </w:pPr>
                  <w:r>
                    <w:rPr>
                      <w:rFonts w:hint="eastAsia"/>
                      <w:color w:val="auto"/>
                    </w:rPr>
                    <w:t>南，</w:t>
                  </w:r>
                  <w:r>
                    <w:rPr>
                      <w:rFonts w:hint="eastAsia"/>
                      <w:color w:val="auto"/>
                      <w:lang w:val="en-US" w:eastAsia="zh-CN"/>
                    </w:rPr>
                    <w:t>2000</w:t>
                  </w:r>
                  <w:r>
                    <w:rPr>
                      <w:rFonts w:hint="eastAsia"/>
                      <w:color w:val="auto"/>
                    </w:rPr>
                    <w:t>m</w:t>
                  </w:r>
                </w:p>
              </w:tc>
            </w:tr>
          </w:tbl>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tc>
      </w:tr>
    </w:tbl>
    <w:p>
      <w:pPr>
        <w:pStyle w:val="57"/>
        <w:rPr>
          <w:color w:val="auto"/>
          <w:sz w:val="28"/>
          <w:szCs w:val="32"/>
        </w:rPr>
      </w:pPr>
      <w:r>
        <w:rPr>
          <w:color w:val="auto"/>
        </w:rPr>
        <w:br w:type="page"/>
      </w:r>
    </w:p>
    <w:p>
      <w:pPr>
        <w:pStyle w:val="36"/>
        <w:topLinePunct/>
        <w:rPr>
          <w:color w:val="auto"/>
        </w:rPr>
      </w:pPr>
      <w:r>
        <w:rPr>
          <w:color w:val="auto"/>
        </w:rPr>
        <w:t>评价适用标准</w:t>
      </w:r>
    </w:p>
    <w:tbl>
      <w:tblPr>
        <w:tblStyle w:val="39"/>
        <w:tblW w:w="8698"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713"/>
        <w:gridCol w:w="7985"/>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Ex>
        <w:trPr>
          <w:trHeight w:val="397" w:hRule="atLeast"/>
          <w:jc w:val="center"/>
        </w:trPr>
        <w:tc>
          <w:tcPr>
            <w:tcW w:w="713" w:type="dxa"/>
            <w:vAlign w:val="center"/>
          </w:tcPr>
          <w:p>
            <w:pPr>
              <w:pStyle w:val="56"/>
              <w:topLinePunct/>
              <w:rPr>
                <w:color w:val="auto"/>
              </w:rPr>
            </w:pPr>
            <w:r>
              <w:rPr>
                <w:color w:val="auto"/>
              </w:rPr>
              <w:t>环</w:t>
            </w:r>
          </w:p>
          <w:p>
            <w:pPr>
              <w:pStyle w:val="56"/>
              <w:topLinePunct/>
              <w:rPr>
                <w:color w:val="auto"/>
              </w:rPr>
            </w:pPr>
            <w:r>
              <w:rPr>
                <w:color w:val="auto"/>
              </w:rPr>
              <w:t>境</w:t>
            </w:r>
          </w:p>
          <w:p>
            <w:pPr>
              <w:pStyle w:val="56"/>
              <w:topLinePunct/>
              <w:rPr>
                <w:color w:val="auto"/>
              </w:rPr>
            </w:pPr>
            <w:r>
              <w:rPr>
                <w:color w:val="auto"/>
              </w:rPr>
              <w:t>质</w:t>
            </w:r>
          </w:p>
          <w:p>
            <w:pPr>
              <w:pStyle w:val="56"/>
              <w:topLinePunct/>
              <w:rPr>
                <w:color w:val="auto"/>
              </w:rPr>
            </w:pPr>
            <w:r>
              <w:rPr>
                <w:color w:val="auto"/>
              </w:rPr>
              <w:t>量</w:t>
            </w:r>
          </w:p>
          <w:p>
            <w:pPr>
              <w:pStyle w:val="56"/>
              <w:topLinePunct/>
              <w:rPr>
                <w:color w:val="auto"/>
              </w:rPr>
            </w:pPr>
            <w:r>
              <w:rPr>
                <w:color w:val="auto"/>
              </w:rPr>
              <w:t>标</w:t>
            </w:r>
          </w:p>
          <w:p>
            <w:pPr>
              <w:pStyle w:val="56"/>
              <w:topLinePunct/>
              <w:rPr>
                <w:rFonts w:cs="Times New Roman"/>
                <w:color w:val="auto"/>
                <w:szCs w:val="24"/>
              </w:rPr>
            </w:pPr>
            <w:r>
              <w:rPr>
                <w:color w:val="auto"/>
              </w:rPr>
              <w:t>准</w:t>
            </w:r>
          </w:p>
        </w:tc>
        <w:tc>
          <w:tcPr>
            <w:tcW w:w="7985" w:type="dxa"/>
            <w:vAlign w:val="center"/>
          </w:tcPr>
          <w:p>
            <w:pPr>
              <w:pStyle w:val="55"/>
              <w:topLinePunct/>
              <w:ind w:firstLine="482"/>
              <w:rPr>
                <w:color w:val="auto"/>
              </w:rPr>
            </w:pPr>
            <w:r>
              <w:rPr>
                <w:rFonts w:hint="eastAsia"/>
                <w:color w:val="auto"/>
              </w:rPr>
              <w:t>1、</w:t>
            </w:r>
            <w:r>
              <w:rPr>
                <w:color w:val="auto"/>
              </w:rPr>
              <w:t>环境空气</w:t>
            </w:r>
          </w:p>
          <w:p>
            <w:pPr>
              <w:topLinePunct/>
              <w:ind w:firstLine="480"/>
              <w:rPr>
                <w:color w:val="auto"/>
              </w:rPr>
            </w:pPr>
            <w:r>
              <w:rPr>
                <w:rFonts w:hint="eastAsia"/>
                <w:color w:val="auto"/>
              </w:rPr>
              <w:t>本工程</w:t>
            </w:r>
            <w:r>
              <w:rPr>
                <w:color w:val="auto"/>
              </w:rPr>
              <w:t>所在区域的环境空气质量功能类别为二类功能区，环境空气</w:t>
            </w:r>
            <w:r>
              <w:rPr>
                <w:rFonts w:hint="eastAsia"/>
                <w:color w:val="auto"/>
              </w:rPr>
              <w:t>污染物基本工程</w:t>
            </w:r>
            <w:r>
              <w:rPr>
                <w:color w:val="auto"/>
              </w:rPr>
              <w:t>（SO</w:t>
            </w:r>
            <w:r>
              <w:rPr>
                <w:color w:val="auto"/>
                <w:vertAlign w:val="subscript"/>
              </w:rPr>
              <w:t>2</w:t>
            </w:r>
            <w:r>
              <w:rPr>
                <w:color w:val="auto"/>
              </w:rPr>
              <w:t>、NO</w:t>
            </w:r>
            <w:r>
              <w:rPr>
                <w:color w:val="auto"/>
                <w:vertAlign w:val="subscript"/>
              </w:rPr>
              <w:t>2</w:t>
            </w:r>
            <w:r>
              <w:rPr>
                <w:color w:val="auto"/>
              </w:rPr>
              <w:t>、CO、O</w:t>
            </w:r>
            <w:r>
              <w:rPr>
                <w:color w:val="auto"/>
                <w:vertAlign w:val="subscript"/>
              </w:rPr>
              <w:t>3</w:t>
            </w:r>
            <w:r>
              <w:rPr>
                <w:color w:val="auto"/>
              </w:rPr>
              <w:t>、PM</w:t>
            </w:r>
            <w:r>
              <w:rPr>
                <w:color w:val="auto"/>
                <w:vertAlign w:val="subscript"/>
              </w:rPr>
              <w:t>10</w:t>
            </w:r>
            <w:r>
              <w:rPr>
                <w:color w:val="auto"/>
              </w:rPr>
              <w:t>、P</w:t>
            </w:r>
            <w:r>
              <w:rPr>
                <w:rFonts w:hint="eastAsia"/>
                <w:color w:val="auto"/>
              </w:rPr>
              <w:t>M</w:t>
            </w:r>
            <w:r>
              <w:rPr>
                <w:rFonts w:hint="eastAsia"/>
                <w:color w:val="auto"/>
                <w:vertAlign w:val="subscript"/>
              </w:rPr>
              <w:t>2.5</w:t>
            </w:r>
            <w:r>
              <w:rPr>
                <w:color w:val="auto"/>
              </w:rPr>
              <w:t>）执行《环境空气质量标准》（GB</w:t>
            </w:r>
            <w:r>
              <w:rPr>
                <w:rFonts w:hint="eastAsia"/>
                <w:color w:val="auto"/>
              </w:rPr>
              <w:t xml:space="preserve"> </w:t>
            </w:r>
            <w:r>
              <w:rPr>
                <w:color w:val="auto"/>
              </w:rPr>
              <w:t>3095-2018）及2018年修改单中的二级标准。</w:t>
            </w:r>
          </w:p>
          <w:p>
            <w:pPr>
              <w:pStyle w:val="56"/>
              <w:topLinePunct/>
              <w:rPr>
                <w:color w:val="auto"/>
              </w:rPr>
            </w:pPr>
            <w:r>
              <w:rPr>
                <w:color w:val="auto"/>
              </w:rPr>
              <w:t>表</w:t>
            </w:r>
            <w:r>
              <w:rPr>
                <w:rFonts w:hint="eastAsia"/>
                <w:color w:val="auto"/>
                <w:lang w:val="en-US" w:eastAsia="zh-CN"/>
              </w:rPr>
              <w:t>4-1</w:t>
            </w:r>
            <w:r>
              <w:rPr>
                <w:rFonts w:hint="eastAsia"/>
                <w:color w:val="auto"/>
              </w:rPr>
              <w:t xml:space="preserve">  </w:t>
            </w:r>
            <w:r>
              <w:rPr>
                <w:color w:val="auto"/>
              </w:rPr>
              <w:t>《环境空气质量标准》（摘录）</w:t>
            </w:r>
          </w:p>
          <w:tbl>
            <w:tblPr>
              <w:tblStyle w:val="39"/>
              <w:tblW w:w="7807"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12"/>
              <w:gridCol w:w="2013"/>
              <w:gridCol w:w="990"/>
              <w:gridCol w:w="990"/>
              <w:gridCol w:w="230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Align w:val="center"/>
                </w:tcPr>
                <w:p>
                  <w:pPr>
                    <w:pStyle w:val="57"/>
                    <w:topLinePunct/>
                    <w:rPr>
                      <w:color w:val="auto"/>
                    </w:rPr>
                  </w:pPr>
                  <w:r>
                    <w:rPr>
                      <w:color w:val="auto"/>
                    </w:rPr>
                    <w:t>污染物名称</w:t>
                  </w:r>
                </w:p>
              </w:tc>
              <w:tc>
                <w:tcPr>
                  <w:tcW w:w="2013" w:type="dxa"/>
                  <w:vAlign w:val="center"/>
                </w:tcPr>
                <w:p>
                  <w:pPr>
                    <w:pStyle w:val="57"/>
                    <w:topLinePunct/>
                    <w:rPr>
                      <w:color w:val="auto"/>
                    </w:rPr>
                  </w:pPr>
                  <w:r>
                    <w:rPr>
                      <w:color w:val="auto"/>
                    </w:rPr>
                    <w:t>平均时间</w:t>
                  </w:r>
                </w:p>
              </w:tc>
              <w:tc>
                <w:tcPr>
                  <w:tcW w:w="990" w:type="dxa"/>
                  <w:vAlign w:val="center"/>
                </w:tcPr>
                <w:p>
                  <w:pPr>
                    <w:pStyle w:val="57"/>
                    <w:topLinePunct/>
                    <w:rPr>
                      <w:color w:val="auto"/>
                    </w:rPr>
                  </w:pPr>
                  <w:r>
                    <w:rPr>
                      <w:color w:val="auto"/>
                    </w:rPr>
                    <w:t>浓度限值</w:t>
                  </w:r>
                </w:p>
              </w:tc>
              <w:tc>
                <w:tcPr>
                  <w:tcW w:w="990" w:type="dxa"/>
                  <w:vAlign w:val="center"/>
                </w:tcPr>
                <w:p>
                  <w:pPr>
                    <w:pStyle w:val="57"/>
                    <w:topLinePunct/>
                    <w:rPr>
                      <w:color w:val="auto"/>
                    </w:rPr>
                  </w:pPr>
                  <w:r>
                    <w:rPr>
                      <w:color w:val="auto"/>
                    </w:rPr>
                    <w:t>单位</w:t>
                  </w:r>
                </w:p>
              </w:tc>
              <w:tc>
                <w:tcPr>
                  <w:tcW w:w="2302" w:type="dxa"/>
                  <w:vAlign w:val="center"/>
                </w:tcPr>
                <w:p>
                  <w:pPr>
                    <w:pStyle w:val="57"/>
                    <w:topLinePunct/>
                    <w:rPr>
                      <w:color w:val="auto"/>
                    </w:rPr>
                  </w:pPr>
                  <w:r>
                    <w:rPr>
                      <w:color w:val="auto"/>
                    </w:rPr>
                    <w:t>取值来源</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restart"/>
                  <w:vAlign w:val="center"/>
                </w:tcPr>
                <w:p>
                  <w:pPr>
                    <w:pStyle w:val="57"/>
                    <w:topLinePunct/>
                    <w:rPr>
                      <w:color w:val="auto"/>
                    </w:rPr>
                  </w:pPr>
                  <w:r>
                    <w:rPr>
                      <w:color w:val="auto"/>
                    </w:rPr>
                    <w:t>SO</w:t>
                  </w:r>
                  <w:r>
                    <w:rPr>
                      <w:color w:val="auto"/>
                      <w:vertAlign w:val="subscript"/>
                    </w:rPr>
                    <w:t>2</w:t>
                  </w:r>
                </w:p>
              </w:tc>
              <w:tc>
                <w:tcPr>
                  <w:tcW w:w="2013" w:type="dxa"/>
                  <w:vAlign w:val="center"/>
                </w:tcPr>
                <w:p>
                  <w:pPr>
                    <w:pStyle w:val="57"/>
                    <w:topLinePunct/>
                    <w:rPr>
                      <w:color w:val="auto"/>
                    </w:rPr>
                  </w:pPr>
                  <w:r>
                    <w:rPr>
                      <w:color w:val="auto"/>
                    </w:rPr>
                    <w:t>年平均</w:t>
                  </w:r>
                </w:p>
              </w:tc>
              <w:tc>
                <w:tcPr>
                  <w:tcW w:w="990" w:type="dxa"/>
                  <w:vAlign w:val="center"/>
                </w:tcPr>
                <w:p>
                  <w:pPr>
                    <w:pStyle w:val="57"/>
                    <w:topLinePunct/>
                    <w:rPr>
                      <w:color w:val="auto"/>
                    </w:rPr>
                  </w:pPr>
                  <w:r>
                    <w:rPr>
                      <w:color w:val="auto"/>
                    </w:rPr>
                    <w:t>60</w:t>
                  </w:r>
                </w:p>
              </w:tc>
              <w:tc>
                <w:tcPr>
                  <w:tcW w:w="990" w:type="dxa"/>
                  <w:vMerge w:val="restart"/>
                  <w:vAlign w:val="center"/>
                </w:tcPr>
                <w:p>
                  <w:pPr>
                    <w:pStyle w:val="57"/>
                    <w:topLinePunct/>
                    <w:rPr>
                      <w:color w:val="auto"/>
                    </w:rPr>
                  </w:pPr>
                  <w:r>
                    <w:rPr>
                      <w:color w:val="auto"/>
                    </w:rPr>
                    <w:t>µg/m³</w:t>
                  </w:r>
                </w:p>
              </w:tc>
              <w:tc>
                <w:tcPr>
                  <w:tcW w:w="2302" w:type="dxa"/>
                  <w:vMerge w:val="restart"/>
                  <w:vAlign w:val="center"/>
                </w:tcPr>
                <w:p>
                  <w:pPr>
                    <w:pStyle w:val="57"/>
                    <w:topLinePunct/>
                    <w:rPr>
                      <w:color w:val="auto"/>
                    </w:rPr>
                  </w:pPr>
                  <w:r>
                    <w:rPr>
                      <w:color w:val="auto"/>
                    </w:rPr>
                    <w:t>《环境空气质量标准》（GB</w:t>
                  </w:r>
                  <w:r>
                    <w:rPr>
                      <w:rFonts w:hint="eastAsia"/>
                      <w:color w:val="auto"/>
                    </w:rPr>
                    <w:t xml:space="preserve"> </w:t>
                  </w:r>
                  <w:r>
                    <w:rPr>
                      <w:color w:val="auto"/>
                    </w:rPr>
                    <w:t>3095-2012）及其2018年修改单二级标准</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24小时平均</w:t>
                  </w:r>
                </w:p>
              </w:tc>
              <w:tc>
                <w:tcPr>
                  <w:tcW w:w="990" w:type="dxa"/>
                  <w:vAlign w:val="center"/>
                </w:tcPr>
                <w:p>
                  <w:pPr>
                    <w:pStyle w:val="57"/>
                    <w:topLinePunct/>
                    <w:rPr>
                      <w:color w:val="auto"/>
                    </w:rPr>
                  </w:pPr>
                  <w:r>
                    <w:rPr>
                      <w:color w:val="auto"/>
                    </w:rPr>
                    <w:t>150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1小时平均</w:t>
                  </w:r>
                </w:p>
              </w:tc>
              <w:tc>
                <w:tcPr>
                  <w:tcW w:w="990" w:type="dxa"/>
                  <w:vAlign w:val="center"/>
                </w:tcPr>
                <w:p>
                  <w:pPr>
                    <w:pStyle w:val="57"/>
                    <w:topLinePunct/>
                    <w:rPr>
                      <w:color w:val="auto"/>
                    </w:rPr>
                  </w:pPr>
                  <w:r>
                    <w:rPr>
                      <w:color w:val="auto"/>
                    </w:rPr>
                    <w:t>500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restart"/>
                  <w:vAlign w:val="center"/>
                </w:tcPr>
                <w:p>
                  <w:pPr>
                    <w:pStyle w:val="57"/>
                    <w:topLinePunct/>
                    <w:rPr>
                      <w:color w:val="auto"/>
                    </w:rPr>
                  </w:pPr>
                  <w:r>
                    <w:rPr>
                      <w:color w:val="auto"/>
                    </w:rPr>
                    <w:t>NO</w:t>
                  </w:r>
                  <w:r>
                    <w:rPr>
                      <w:color w:val="auto"/>
                      <w:vertAlign w:val="subscript"/>
                    </w:rPr>
                    <w:t>2</w:t>
                  </w:r>
                </w:p>
              </w:tc>
              <w:tc>
                <w:tcPr>
                  <w:tcW w:w="2013" w:type="dxa"/>
                  <w:vAlign w:val="center"/>
                </w:tcPr>
                <w:p>
                  <w:pPr>
                    <w:pStyle w:val="57"/>
                    <w:topLinePunct/>
                    <w:rPr>
                      <w:color w:val="auto"/>
                    </w:rPr>
                  </w:pPr>
                  <w:r>
                    <w:rPr>
                      <w:color w:val="auto"/>
                    </w:rPr>
                    <w:t>年平均</w:t>
                  </w:r>
                </w:p>
              </w:tc>
              <w:tc>
                <w:tcPr>
                  <w:tcW w:w="990" w:type="dxa"/>
                  <w:vAlign w:val="center"/>
                </w:tcPr>
                <w:p>
                  <w:pPr>
                    <w:pStyle w:val="57"/>
                    <w:topLinePunct/>
                    <w:rPr>
                      <w:color w:val="auto"/>
                    </w:rPr>
                  </w:pPr>
                  <w:r>
                    <w:rPr>
                      <w:color w:val="auto"/>
                    </w:rPr>
                    <w:t>40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24小时平均</w:t>
                  </w:r>
                </w:p>
              </w:tc>
              <w:tc>
                <w:tcPr>
                  <w:tcW w:w="990" w:type="dxa"/>
                  <w:vAlign w:val="center"/>
                </w:tcPr>
                <w:p>
                  <w:pPr>
                    <w:pStyle w:val="57"/>
                    <w:topLinePunct/>
                    <w:rPr>
                      <w:color w:val="auto"/>
                    </w:rPr>
                  </w:pPr>
                  <w:r>
                    <w:rPr>
                      <w:color w:val="auto"/>
                    </w:rPr>
                    <w:t>80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1小时平均</w:t>
                  </w:r>
                </w:p>
              </w:tc>
              <w:tc>
                <w:tcPr>
                  <w:tcW w:w="990" w:type="dxa"/>
                  <w:vAlign w:val="center"/>
                </w:tcPr>
                <w:p>
                  <w:pPr>
                    <w:pStyle w:val="57"/>
                    <w:topLinePunct/>
                    <w:rPr>
                      <w:color w:val="auto"/>
                    </w:rPr>
                  </w:pPr>
                  <w:r>
                    <w:rPr>
                      <w:color w:val="auto"/>
                    </w:rPr>
                    <w:t>200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restart"/>
                  <w:vAlign w:val="center"/>
                </w:tcPr>
                <w:p>
                  <w:pPr>
                    <w:pStyle w:val="57"/>
                    <w:topLinePunct/>
                    <w:rPr>
                      <w:color w:val="auto"/>
                    </w:rPr>
                  </w:pPr>
                  <w:r>
                    <w:rPr>
                      <w:color w:val="auto"/>
                    </w:rPr>
                    <w:t>PM</w:t>
                  </w:r>
                  <w:r>
                    <w:rPr>
                      <w:color w:val="auto"/>
                      <w:vertAlign w:val="subscript"/>
                    </w:rPr>
                    <w:t>10</w:t>
                  </w:r>
                </w:p>
              </w:tc>
              <w:tc>
                <w:tcPr>
                  <w:tcW w:w="2013" w:type="dxa"/>
                  <w:vAlign w:val="center"/>
                </w:tcPr>
                <w:p>
                  <w:pPr>
                    <w:pStyle w:val="57"/>
                    <w:topLinePunct/>
                    <w:rPr>
                      <w:color w:val="auto"/>
                    </w:rPr>
                  </w:pPr>
                  <w:r>
                    <w:rPr>
                      <w:color w:val="auto"/>
                    </w:rPr>
                    <w:t>年平均</w:t>
                  </w:r>
                </w:p>
              </w:tc>
              <w:tc>
                <w:tcPr>
                  <w:tcW w:w="990" w:type="dxa"/>
                  <w:vAlign w:val="center"/>
                </w:tcPr>
                <w:p>
                  <w:pPr>
                    <w:pStyle w:val="57"/>
                    <w:topLinePunct/>
                    <w:rPr>
                      <w:color w:val="auto"/>
                    </w:rPr>
                  </w:pPr>
                  <w:r>
                    <w:rPr>
                      <w:color w:val="auto"/>
                    </w:rPr>
                    <w:t>70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24小时平均</w:t>
                  </w:r>
                </w:p>
              </w:tc>
              <w:tc>
                <w:tcPr>
                  <w:tcW w:w="990" w:type="dxa"/>
                  <w:vAlign w:val="center"/>
                </w:tcPr>
                <w:p>
                  <w:pPr>
                    <w:pStyle w:val="57"/>
                    <w:topLinePunct/>
                    <w:rPr>
                      <w:color w:val="auto"/>
                    </w:rPr>
                  </w:pPr>
                  <w:r>
                    <w:rPr>
                      <w:color w:val="auto"/>
                    </w:rPr>
                    <w:t>150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restart"/>
                  <w:vAlign w:val="center"/>
                </w:tcPr>
                <w:p>
                  <w:pPr>
                    <w:pStyle w:val="57"/>
                    <w:topLinePunct/>
                    <w:rPr>
                      <w:color w:val="auto"/>
                    </w:rPr>
                  </w:pPr>
                  <w:r>
                    <w:rPr>
                      <w:color w:val="auto"/>
                    </w:rPr>
                    <w:t>P</w:t>
                  </w:r>
                  <w:r>
                    <w:rPr>
                      <w:rFonts w:hint="eastAsia"/>
                      <w:color w:val="auto"/>
                    </w:rPr>
                    <w:t>M</w:t>
                  </w:r>
                  <w:r>
                    <w:rPr>
                      <w:rFonts w:hint="eastAsia"/>
                      <w:color w:val="auto"/>
                      <w:vertAlign w:val="subscript"/>
                    </w:rPr>
                    <w:t>2.5</w:t>
                  </w:r>
                </w:p>
              </w:tc>
              <w:tc>
                <w:tcPr>
                  <w:tcW w:w="2013" w:type="dxa"/>
                  <w:vAlign w:val="center"/>
                </w:tcPr>
                <w:p>
                  <w:pPr>
                    <w:pStyle w:val="57"/>
                    <w:topLinePunct/>
                    <w:rPr>
                      <w:color w:val="auto"/>
                    </w:rPr>
                  </w:pPr>
                  <w:r>
                    <w:rPr>
                      <w:color w:val="auto"/>
                    </w:rPr>
                    <w:t>年平均</w:t>
                  </w:r>
                </w:p>
              </w:tc>
              <w:tc>
                <w:tcPr>
                  <w:tcW w:w="990" w:type="dxa"/>
                  <w:vAlign w:val="center"/>
                </w:tcPr>
                <w:p>
                  <w:pPr>
                    <w:pStyle w:val="57"/>
                    <w:topLinePunct/>
                    <w:rPr>
                      <w:color w:val="auto"/>
                    </w:rPr>
                  </w:pPr>
                  <w:r>
                    <w:rPr>
                      <w:color w:val="auto"/>
                    </w:rPr>
                    <w:t>35</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24小时平均</w:t>
                  </w:r>
                </w:p>
              </w:tc>
              <w:tc>
                <w:tcPr>
                  <w:tcW w:w="990" w:type="dxa"/>
                  <w:vAlign w:val="center"/>
                </w:tcPr>
                <w:p>
                  <w:pPr>
                    <w:pStyle w:val="57"/>
                    <w:topLinePunct/>
                    <w:rPr>
                      <w:color w:val="auto"/>
                    </w:rPr>
                  </w:pPr>
                  <w:r>
                    <w:rPr>
                      <w:color w:val="auto"/>
                    </w:rPr>
                    <w:t>75</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restart"/>
                  <w:vAlign w:val="center"/>
                </w:tcPr>
                <w:p>
                  <w:pPr>
                    <w:pStyle w:val="57"/>
                    <w:topLinePunct/>
                    <w:rPr>
                      <w:color w:val="auto"/>
                    </w:rPr>
                  </w:pPr>
                  <w:r>
                    <w:rPr>
                      <w:color w:val="auto"/>
                    </w:rPr>
                    <w:t>臭氧</w:t>
                  </w:r>
                </w:p>
              </w:tc>
              <w:tc>
                <w:tcPr>
                  <w:tcW w:w="2013" w:type="dxa"/>
                  <w:vAlign w:val="center"/>
                </w:tcPr>
                <w:p>
                  <w:pPr>
                    <w:pStyle w:val="57"/>
                    <w:topLinePunct/>
                    <w:rPr>
                      <w:color w:val="auto"/>
                    </w:rPr>
                  </w:pPr>
                  <w:r>
                    <w:rPr>
                      <w:color w:val="auto"/>
                    </w:rPr>
                    <w:t>日最大8小时平均</w:t>
                  </w:r>
                </w:p>
              </w:tc>
              <w:tc>
                <w:tcPr>
                  <w:tcW w:w="990" w:type="dxa"/>
                  <w:vAlign w:val="center"/>
                </w:tcPr>
                <w:p>
                  <w:pPr>
                    <w:pStyle w:val="57"/>
                    <w:topLinePunct/>
                    <w:rPr>
                      <w:color w:val="auto"/>
                    </w:rPr>
                  </w:pPr>
                  <w:r>
                    <w:rPr>
                      <w:color w:val="auto"/>
                    </w:rPr>
                    <w:t>160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1小时平均</w:t>
                  </w:r>
                </w:p>
              </w:tc>
              <w:tc>
                <w:tcPr>
                  <w:tcW w:w="990" w:type="dxa"/>
                  <w:vAlign w:val="center"/>
                </w:tcPr>
                <w:p>
                  <w:pPr>
                    <w:pStyle w:val="57"/>
                    <w:topLinePunct/>
                    <w:rPr>
                      <w:color w:val="auto"/>
                    </w:rPr>
                  </w:pPr>
                  <w:r>
                    <w:rPr>
                      <w:color w:val="auto"/>
                    </w:rPr>
                    <w:t>200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restart"/>
                  <w:vAlign w:val="center"/>
                </w:tcPr>
                <w:p>
                  <w:pPr>
                    <w:pStyle w:val="57"/>
                    <w:topLinePunct/>
                    <w:rPr>
                      <w:color w:val="auto"/>
                    </w:rPr>
                  </w:pPr>
                  <w:r>
                    <w:rPr>
                      <w:color w:val="auto"/>
                    </w:rPr>
                    <w:t>CO</w:t>
                  </w:r>
                </w:p>
              </w:tc>
              <w:tc>
                <w:tcPr>
                  <w:tcW w:w="2013" w:type="dxa"/>
                  <w:vAlign w:val="center"/>
                </w:tcPr>
                <w:p>
                  <w:pPr>
                    <w:pStyle w:val="57"/>
                    <w:topLinePunct/>
                    <w:rPr>
                      <w:color w:val="auto"/>
                    </w:rPr>
                  </w:pPr>
                  <w:r>
                    <w:rPr>
                      <w:color w:val="auto"/>
                    </w:rPr>
                    <w:t>24小时平均</w:t>
                  </w:r>
                </w:p>
              </w:tc>
              <w:tc>
                <w:tcPr>
                  <w:tcW w:w="990" w:type="dxa"/>
                  <w:vAlign w:val="center"/>
                </w:tcPr>
                <w:p>
                  <w:pPr>
                    <w:pStyle w:val="57"/>
                    <w:topLinePunct/>
                    <w:rPr>
                      <w:color w:val="auto"/>
                    </w:rPr>
                  </w:pPr>
                  <w:r>
                    <w:rPr>
                      <w:color w:val="auto"/>
                    </w:rPr>
                    <w:t>4</w:t>
                  </w:r>
                </w:p>
              </w:tc>
              <w:tc>
                <w:tcPr>
                  <w:tcW w:w="990" w:type="dxa"/>
                  <w:vMerge w:val="restart"/>
                  <w:vAlign w:val="center"/>
                </w:tcPr>
                <w:p>
                  <w:pPr>
                    <w:pStyle w:val="57"/>
                    <w:topLinePunct/>
                    <w:rPr>
                      <w:color w:val="auto"/>
                    </w:rPr>
                  </w:pPr>
                  <w:r>
                    <w:rPr>
                      <w:color w:val="auto"/>
                    </w:rPr>
                    <w:t>mg/m³</w:t>
                  </w:r>
                </w:p>
              </w:tc>
              <w:tc>
                <w:tcPr>
                  <w:tcW w:w="2302" w:type="dxa"/>
                  <w:vMerge w:val="continue"/>
                  <w:vAlign w:val="center"/>
                </w:tcPr>
                <w:p>
                  <w:pPr>
                    <w:pStyle w:val="57"/>
                    <w:topLinePunct/>
                    <w:rPr>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cantSplit/>
                <w:trHeight w:val="397" w:hRule="atLeast"/>
                <w:jc w:val="center"/>
              </w:trPr>
              <w:tc>
                <w:tcPr>
                  <w:tcW w:w="1512" w:type="dxa"/>
                  <w:vMerge w:val="continue"/>
                  <w:vAlign w:val="center"/>
                </w:tcPr>
                <w:p>
                  <w:pPr>
                    <w:pStyle w:val="57"/>
                    <w:topLinePunct/>
                    <w:rPr>
                      <w:color w:val="auto"/>
                    </w:rPr>
                  </w:pPr>
                </w:p>
              </w:tc>
              <w:tc>
                <w:tcPr>
                  <w:tcW w:w="2013" w:type="dxa"/>
                  <w:vAlign w:val="center"/>
                </w:tcPr>
                <w:p>
                  <w:pPr>
                    <w:pStyle w:val="57"/>
                    <w:topLinePunct/>
                    <w:rPr>
                      <w:color w:val="auto"/>
                    </w:rPr>
                  </w:pPr>
                  <w:r>
                    <w:rPr>
                      <w:color w:val="auto"/>
                    </w:rPr>
                    <w:t>1小时平均</w:t>
                  </w:r>
                </w:p>
              </w:tc>
              <w:tc>
                <w:tcPr>
                  <w:tcW w:w="990" w:type="dxa"/>
                  <w:vAlign w:val="center"/>
                </w:tcPr>
                <w:p>
                  <w:pPr>
                    <w:pStyle w:val="57"/>
                    <w:topLinePunct/>
                    <w:rPr>
                      <w:color w:val="auto"/>
                    </w:rPr>
                  </w:pPr>
                  <w:r>
                    <w:rPr>
                      <w:color w:val="auto"/>
                    </w:rPr>
                    <w:t>10</w:t>
                  </w:r>
                </w:p>
              </w:tc>
              <w:tc>
                <w:tcPr>
                  <w:tcW w:w="990" w:type="dxa"/>
                  <w:vMerge w:val="continue"/>
                  <w:vAlign w:val="center"/>
                </w:tcPr>
                <w:p>
                  <w:pPr>
                    <w:pStyle w:val="57"/>
                    <w:topLinePunct/>
                    <w:rPr>
                      <w:color w:val="auto"/>
                    </w:rPr>
                  </w:pPr>
                </w:p>
              </w:tc>
              <w:tc>
                <w:tcPr>
                  <w:tcW w:w="2302" w:type="dxa"/>
                  <w:vMerge w:val="continue"/>
                  <w:vAlign w:val="center"/>
                </w:tcPr>
                <w:p>
                  <w:pPr>
                    <w:pStyle w:val="57"/>
                    <w:topLinePunct/>
                    <w:rPr>
                      <w:color w:val="auto"/>
                    </w:rPr>
                  </w:pPr>
                </w:p>
              </w:tc>
            </w:tr>
          </w:tbl>
          <w:p>
            <w:pPr>
              <w:pStyle w:val="55"/>
              <w:topLinePunct/>
              <w:ind w:firstLine="482"/>
              <w:rPr>
                <w:color w:val="auto"/>
              </w:rPr>
            </w:pPr>
            <w:r>
              <w:rPr>
                <w:rFonts w:hint="eastAsia"/>
                <w:color w:val="auto"/>
              </w:rPr>
              <w:t>2、</w:t>
            </w:r>
            <w:r>
              <w:rPr>
                <w:color w:val="auto"/>
              </w:rPr>
              <w:t>水环境</w:t>
            </w:r>
          </w:p>
          <w:p>
            <w:pPr>
              <w:spacing w:line="360" w:lineRule="auto"/>
              <w:ind w:firstLine="480" w:firstLineChars="200"/>
              <w:jc w:val="both"/>
              <w:rPr>
                <w:rFonts w:ascii="Times New Roman" w:hAnsi="Times New Roman" w:cs="Times New Roman"/>
                <w:color w:val="auto"/>
                <w:u w:val="none"/>
              </w:rPr>
            </w:pPr>
            <w:r>
              <w:rPr>
                <w:rFonts w:ascii="Times New Roman" w:hAnsi="Times New Roman" w:cs="Times New Roman"/>
                <w:bCs/>
                <w:color w:val="auto"/>
              </w:rPr>
              <w:t>根据《广东省地表水环境功能区划》(粤环[2011]14号)，本</w:t>
            </w:r>
            <w:r>
              <w:rPr>
                <w:rFonts w:ascii="Times New Roman" w:hAnsi="Times New Roman" w:cs="Times New Roman"/>
                <w:color w:val="auto"/>
              </w:rPr>
              <w:t>项目所在水体西江水是黄桥水的一级支流，参考执行</w:t>
            </w:r>
            <w:r>
              <w:rPr>
                <w:rFonts w:ascii="Times New Roman" w:hAnsi="Times New Roman" w:cs="Times New Roman"/>
                <w:color w:val="auto"/>
                <w:u w:val="none"/>
              </w:rPr>
              <w:t>《地表水环境质量标准》（GB3838-2002）中的</w:t>
            </w:r>
            <w:r>
              <w:rPr>
                <w:rFonts w:hint="eastAsia"/>
                <w:color w:val="auto"/>
                <w:u w:val="none"/>
              </w:rPr>
              <w:t>Ⅱ</w:t>
            </w:r>
            <w:r>
              <w:rPr>
                <w:rFonts w:ascii="Times New Roman" w:hAnsi="Times New Roman" w:cs="Times New Roman"/>
                <w:color w:val="auto"/>
                <w:u w:val="none"/>
              </w:rPr>
              <w:t>类标准</w:t>
            </w:r>
            <w:r>
              <w:rPr>
                <w:rFonts w:hint="eastAsia" w:ascii="Times New Roman" w:hAnsi="Times New Roman" w:cs="Times New Roman"/>
                <w:color w:val="auto"/>
                <w:u w:val="none"/>
              </w:rPr>
              <w:t>。</w:t>
            </w:r>
            <w:r>
              <w:rPr>
                <w:rFonts w:ascii="Times New Roman" w:hAnsi="Times New Roman" w:cs="Times New Roman"/>
                <w:color w:val="auto"/>
                <w:u w:val="none"/>
              </w:rPr>
              <w:t>具体指标见表</w:t>
            </w:r>
            <w:r>
              <w:rPr>
                <w:rFonts w:hint="eastAsia" w:ascii="Times New Roman" w:hAnsi="Times New Roman" w:cs="Times New Roman"/>
                <w:color w:val="auto"/>
                <w:u w:val="none"/>
                <w:lang w:val="en-US" w:eastAsia="zh-CN"/>
              </w:rPr>
              <w:t>4-2</w:t>
            </w:r>
            <w:r>
              <w:rPr>
                <w:rFonts w:ascii="Times New Roman" w:hAnsi="Times New Roman" w:cs="Times New Roman"/>
                <w:color w:val="auto"/>
                <w:u w:val="none"/>
              </w:rPr>
              <w:t>。</w:t>
            </w:r>
          </w:p>
          <w:p>
            <w:pPr>
              <w:spacing w:line="360" w:lineRule="auto"/>
              <w:jc w:val="center"/>
              <w:rPr>
                <w:rFonts w:ascii="Times New Roman" w:hAnsi="Times New Roman" w:cs="Times New Roman"/>
                <w:b/>
                <w:color w:val="auto"/>
                <w:u w:val="none"/>
              </w:rPr>
            </w:pPr>
            <w:r>
              <w:rPr>
                <w:rFonts w:ascii="Times New Roman" w:hAnsi="Times New Roman" w:cs="Times New Roman"/>
                <w:b/>
                <w:color w:val="auto"/>
                <w:u w:val="none"/>
              </w:rPr>
              <w:t>表</w:t>
            </w:r>
            <w:r>
              <w:rPr>
                <w:rFonts w:hint="eastAsia" w:ascii="Times New Roman" w:hAnsi="Times New Roman" w:cs="Times New Roman"/>
                <w:b/>
                <w:color w:val="auto"/>
                <w:u w:val="none"/>
                <w:lang w:val="en-US" w:eastAsia="zh-CN"/>
              </w:rPr>
              <w:t>4-2</w:t>
            </w:r>
            <w:r>
              <w:rPr>
                <w:rFonts w:ascii="Times New Roman" w:hAnsi="Times New Roman" w:cs="Times New Roman"/>
                <w:b/>
                <w:color w:val="auto"/>
                <w:u w:val="none"/>
              </w:rPr>
              <w:t xml:space="preserve"> 《地表水环境质量标准》(摘录) </w:t>
            </w:r>
          </w:p>
          <w:tbl>
            <w:tblPr>
              <w:tblStyle w:val="39"/>
              <w:tblW w:w="7809"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73"/>
              <w:gridCol w:w="603"/>
              <w:gridCol w:w="441"/>
              <w:gridCol w:w="829"/>
              <w:gridCol w:w="733"/>
              <w:gridCol w:w="713"/>
              <w:gridCol w:w="765"/>
              <w:gridCol w:w="609"/>
              <w:gridCol w:w="762"/>
              <w:gridCol w:w="118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7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污染因子</w:t>
                  </w:r>
                </w:p>
              </w:tc>
              <w:tc>
                <w:tcPr>
                  <w:tcW w:w="60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pH</w:t>
                  </w:r>
                </w:p>
              </w:tc>
              <w:tc>
                <w:tcPr>
                  <w:tcW w:w="441"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DO</w:t>
                  </w:r>
                </w:p>
              </w:tc>
              <w:tc>
                <w:tcPr>
                  <w:tcW w:w="829"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COD</w:t>
                  </w:r>
                  <w:r>
                    <w:rPr>
                      <w:rFonts w:ascii="Times New Roman" w:hAnsi="Times New Roman" w:cs="Times New Roman"/>
                      <w:color w:val="auto"/>
                      <w:sz w:val="21"/>
                      <w:szCs w:val="21"/>
                      <w:u w:val="none"/>
                      <w:vertAlign w:val="subscript"/>
                    </w:rPr>
                    <w:t>Cr</w:t>
                  </w:r>
                </w:p>
              </w:tc>
              <w:tc>
                <w:tcPr>
                  <w:tcW w:w="73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BOD</w:t>
                  </w:r>
                  <w:r>
                    <w:rPr>
                      <w:rFonts w:ascii="Times New Roman" w:hAnsi="Times New Roman" w:cs="Times New Roman"/>
                      <w:color w:val="auto"/>
                      <w:sz w:val="21"/>
                      <w:szCs w:val="21"/>
                      <w:u w:val="none"/>
                      <w:vertAlign w:val="subscript"/>
                    </w:rPr>
                    <w:t>5</w:t>
                  </w:r>
                </w:p>
              </w:tc>
              <w:tc>
                <w:tcPr>
                  <w:tcW w:w="71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NH</w:t>
                  </w:r>
                  <w:r>
                    <w:rPr>
                      <w:rFonts w:ascii="Times New Roman" w:hAnsi="Times New Roman" w:cs="Times New Roman"/>
                      <w:color w:val="auto"/>
                      <w:sz w:val="21"/>
                      <w:szCs w:val="21"/>
                      <w:u w:val="none"/>
                      <w:vertAlign w:val="subscript"/>
                    </w:rPr>
                    <w:t>3</w:t>
                  </w:r>
                  <w:r>
                    <w:rPr>
                      <w:rFonts w:ascii="Times New Roman" w:hAnsi="Times New Roman" w:cs="Times New Roman"/>
                      <w:color w:val="auto"/>
                      <w:sz w:val="21"/>
                      <w:szCs w:val="21"/>
                      <w:u w:val="none"/>
                    </w:rPr>
                    <w:t>-N</w:t>
                  </w:r>
                </w:p>
              </w:tc>
              <w:tc>
                <w:tcPr>
                  <w:tcW w:w="765" w:type="dxa"/>
                  <w:vAlign w:val="center"/>
                </w:tcPr>
                <w:p>
                  <w:pPr>
                    <w:spacing w:line="240" w:lineRule="auto"/>
                    <w:ind w:firstLine="0" w:firstLineChars="0"/>
                    <w:jc w:val="center"/>
                    <w:rPr>
                      <w:rFonts w:ascii="Times New Roman" w:hAnsi="Times New Roman" w:cs="Times New Roman"/>
                      <w:color w:val="auto"/>
                      <w:sz w:val="21"/>
                      <w:szCs w:val="21"/>
                      <w:highlight w:val="yellow"/>
                      <w:u w:val="none"/>
                    </w:rPr>
                  </w:pPr>
                  <w:r>
                    <w:rPr>
                      <w:rFonts w:ascii="Times New Roman" w:hAnsi="Times New Roman" w:cs="Times New Roman"/>
                      <w:color w:val="auto"/>
                      <w:sz w:val="21"/>
                      <w:szCs w:val="21"/>
                      <w:u w:val="none"/>
                    </w:rPr>
                    <w:t>总磷</w:t>
                  </w:r>
                </w:p>
              </w:tc>
              <w:tc>
                <w:tcPr>
                  <w:tcW w:w="609" w:type="dxa"/>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SS</w:t>
                  </w:r>
                </w:p>
              </w:tc>
              <w:tc>
                <w:tcPr>
                  <w:tcW w:w="762"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LAS</w:t>
                  </w:r>
                </w:p>
              </w:tc>
              <w:tc>
                <w:tcPr>
                  <w:tcW w:w="1181"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挥发酚</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17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hint="eastAsia"/>
                      <w:color w:val="auto"/>
                      <w:sz w:val="21"/>
                      <w:szCs w:val="21"/>
                      <w:u w:val="none"/>
                    </w:rPr>
                    <w:t>Ⅱ</w:t>
                  </w:r>
                  <w:r>
                    <w:rPr>
                      <w:rFonts w:ascii="Times New Roman" w:hAnsi="Times New Roman" w:cs="Times New Roman"/>
                      <w:color w:val="auto"/>
                      <w:sz w:val="21"/>
                      <w:szCs w:val="21"/>
                      <w:u w:val="none"/>
                    </w:rPr>
                    <w:t>类标准</w:t>
                  </w:r>
                </w:p>
              </w:tc>
              <w:tc>
                <w:tcPr>
                  <w:tcW w:w="60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6～9</w:t>
                  </w:r>
                </w:p>
              </w:tc>
              <w:tc>
                <w:tcPr>
                  <w:tcW w:w="441"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≥6</w:t>
                  </w:r>
                </w:p>
              </w:tc>
              <w:tc>
                <w:tcPr>
                  <w:tcW w:w="829"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≤15</w:t>
                  </w:r>
                </w:p>
              </w:tc>
              <w:tc>
                <w:tcPr>
                  <w:tcW w:w="73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≤3</w:t>
                  </w:r>
                </w:p>
              </w:tc>
              <w:tc>
                <w:tcPr>
                  <w:tcW w:w="713"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≤0.5</w:t>
                  </w:r>
                </w:p>
              </w:tc>
              <w:tc>
                <w:tcPr>
                  <w:tcW w:w="765" w:type="dxa"/>
                  <w:vAlign w:val="center"/>
                </w:tcPr>
                <w:p>
                  <w:pPr>
                    <w:spacing w:line="240" w:lineRule="auto"/>
                    <w:ind w:firstLine="0" w:firstLineChars="0"/>
                    <w:jc w:val="center"/>
                    <w:rPr>
                      <w:rFonts w:ascii="Times New Roman" w:hAnsi="Times New Roman" w:cs="Times New Roman"/>
                      <w:color w:val="auto"/>
                      <w:sz w:val="21"/>
                      <w:szCs w:val="21"/>
                      <w:highlight w:val="yellow"/>
                      <w:u w:val="none"/>
                    </w:rPr>
                  </w:pPr>
                  <w:r>
                    <w:rPr>
                      <w:rFonts w:ascii="Times New Roman" w:hAnsi="Times New Roman" w:cs="Times New Roman"/>
                      <w:color w:val="auto"/>
                      <w:sz w:val="21"/>
                      <w:szCs w:val="21"/>
                      <w:u w:val="none"/>
                    </w:rPr>
                    <w:t>≤0</w:t>
                  </w:r>
                  <w:r>
                    <w:rPr>
                      <w:rFonts w:hint="eastAsia" w:ascii="Times New Roman" w:hAnsi="Times New Roman" w:cs="Times New Roman"/>
                      <w:color w:val="auto"/>
                      <w:sz w:val="21"/>
                      <w:szCs w:val="21"/>
                      <w:u w:val="none"/>
                    </w:rPr>
                    <w:t>.</w:t>
                  </w:r>
                  <w:r>
                    <w:rPr>
                      <w:rFonts w:ascii="Times New Roman" w:hAnsi="Times New Roman" w:cs="Times New Roman"/>
                      <w:color w:val="auto"/>
                      <w:sz w:val="21"/>
                      <w:szCs w:val="21"/>
                      <w:u w:val="none"/>
                    </w:rPr>
                    <w:t>1</w:t>
                  </w:r>
                </w:p>
              </w:tc>
              <w:tc>
                <w:tcPr>
                  <w:tcW w:w="609" w:type="dxa"/>
                  <w:vAlign w:val="center"/>
                </w:tcPr>
                <w:p>
                  <w:pPr>
                    <w:spacing w:line="240" w:lineRule="auto"/>
                    <w:ind w:firstLine="0" w:firstLineChars="0"/>
                    <w:jc w:val="center"/>
                    <w:rPr>
                      <w:rFonts w:hint="eastAsia" w:ascii="Times New Roman" w:hAnsi="Times New Roman" w:eastAsia="宋体" w:cs="Times New Roman"/>
                      <w:color w:val="auto"/>
                      <w:sz w:val="21"/>
                      <w:szCs w:val="21"/>
                      <w:u w:val="none"/>
                      <w:lang w:eastAsia="zh-CN"/>
                    </w:rPr>
                  </w:pPr>
                  <w:r>
                    <w:rPr>
                      <w:rFonts w:hint="eastAsia" w:cs="Times New Roman"/>
                      <w:color w:val="auto"/>
                      <w:sz w:val="21"/>
                      <w:szCs w:val="21"/>
                      <w:u w:val="none"/>
                      <w:lang w:val="en-US" w:eastAsia="zh-CN"/>
                    </w:rPr>
                    <w:t>/</w:t>
                  </w:r>
                </w:p>
              </w:tc>
              <w:tc>
                <w:tcPr>
                  <w:tcW w:w="762"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≤0.2</w:t>
                  </w:r>
                </w:p>
              </w:tc>
              <w:tc>
                <w:tcPr>
                  <w:tcW w:w="1181" w:type="dxa"/>
                  <w:tcMar>
                    <w:left w:w="0" w:type="dxa"/>
                    <w:right w:w="0" w:type="dxa"/>
                  </w:tcMar>
                  <w:vAlign w:val="center"/>
                </w:tcPr>
                <w:p>
                  <w:pPr>
                    <w:spacing w:line="240" w:lineRule="auto"/>
                    <w:ind w:firstLine="0" w:firstLineChars="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0.002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7809" w:type="dxa"/>
                  <w:gridSpan w:val="10"/>
                  <w:tcMar>
                    <w:left w:w="0" w:type="dxa"/>
                    <w:right w:w="0" w:type="dxa"/>
                  </w:tcMar>
                  <w:vAlign w:val="center"/>
                </w:tcPr>
                <w:p>
                  <w:pPr>
                    <w:rPr>
                      <w:rFonts w:ascii="Times New Roman" w:hAnsi="Times New Roman" w:cs="Times New Roman"/>
                      <w:color w:val="auto"/>
                      <w:sz w:val="21"/>
                      <w:szCs w:val="21"/>
                      <w:u w:val="none"/>
                    </w:rPr>
                  </w:pPr>
                  <w:r>
                    <w:rPr>
                      <w:rFonts w:hint="eastAsia" w:ascii="Times New Roman" w:hAnsi="Times New Roman" w:cs="Times New Roman"/>
                      <w:color w:val="auto"/>
                      <w:sz w:val="21"/>
                      <w:szCs w:val="21"/>
                      <w:u w:val="none"/>
                    </w:rPr>
                    <w:t>备注：水温为℃，</w:t>
                  </w:r>
                  <w:r>
                    <w:rPr>
                      <w:rFonts w:ascii="Times New Roman" w:hAnsi="Times New Roman" w:cs="Times New Roman"/>
                      <w:color w:val="auto"/>
                      <w:sz w:val="21"/>
                      <w:szCs w:val="21"/>
                      <w:u w:val="none"/>
                    </w:rPr>
                    <w:t>pH</w:t>
                  </w:r>
                  <w:r>
                    <w:rPr>
                      <w:rFonts w:hint="eastAsia" w:ascii="Times New Roman" w:hAnsi="Times New Roman" w:cs="Times New Roman"/>
                      <w:color w:val="auto"/>
                      <w:sz w:val="21"/>
                      <w:szCs w:val="21"/>
                      <w:u w:val="none"/>
                    </w:rPr>
                    <w:t>为无量纲，其余项目单位为</w:t>
                  </w:r>
                  <w:r>
                    <w:rPr>
                      <w:rFonts w:ascii="Times New Roman" w:hAnsi="Times New Roman" w:cs="Times New Roman"/>
                      <w:color w:val="auto"/>
                      <w:sz w:val="21"/>
                      <w:szCs w:val="21"/>
                      <w:u w:val="none"/>
                    </w:rPr>
                    <w:t>mg/L</w:t>
                  </w:r>
                  <w:r>
                    <w:rPr>
                      <w:rFonts w:hint="eastAsia" w:ascii="Times New Roman" w:hAnsi="Times New Roman" w:cs="Times New Roman"/>
                      <w:color w:val="auto"/>
                      <w:sz w:val="21"/>
                      <w:szCs w:val="21"/>
                      <w:u w:val="none"/>
                    </w:rPr>
                    <w:t>。</w:t>
                  </w:r>
                </w:p>
              </w:tc>
            </w:tr>
          </w:tbl>
          <w:p>
            <w:pPr>
              <w:pStyle w:val="55"/>
              <w:ind w:firstLine="482"/>
              <w:rPr>
                <w:color w:val="auto"/>
              </w:rPr>
            </w:pPr>
            <w:r>
              <w:rPr>
                <w:rFonts w:hint="eastAsia"/>
                <w:color w:val="auto"/>
              </w:rPr>
              <w:t>3、声</w:t>
            </w:r>
            <w:r>
              <w:rPr>
                <w:color w:val="auto"/>
              </w:rPr>
              <w:t>环境</w:t>
            </w:r>
          </w:p>
          <w:p>
            <w:pPr>
              <w:ind w:firstLine="480"/>
              <w:rPr>
                <w:color w:val="auto"/>
              </w:rPr>
            </w:pPr>
            <w:r>
              <w:rPr>
                <w:rFonts w:hint="eastAsia"/>
                <w:color w:val="auto"/>
              </w:rPr>
              <w:t>本工程声环境执行《声环境质量标准》（GB 3096-2008）2类标准，即：昼间≤60dB（A）、夜间≤50dB（A）。</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Ex>
        <w:trPr>
          <w:trHeight w:val="397" w:hRule="atLeast"/>
          <w:jc w:val="center"/>
        </w:trPr>
        <w:tc>
          <w:tcPr>
            <w:tcW w:w="713" w:type="dxa"/>
            <w:vAlign w:val="center"/>
          </w:tcPr>
          <w:p>
            <w:pPr>
              <w:pStyle w:val="56"/>
              <w:topLinePunct/>
              <w:rPr>
                <w:color w:val="auto"/>
              </w:rPr>
            </w:pPr>
            <w:r>
              <w:rPr>
                <w:color w:val="auto"/>
              </w:rPr>
              <w:t>污</w:t>
            </w:r>
          </w:p>
          <w:p>
            <w:pPr>
              <w:pStyle w:val="56"/>
              <w:topLinePunct/>
              <w:rPr>
                <w:color w:val="auto"/>
              </w:rPr>
            </w:pPr>
            <w:r>
              <w:rPr>
                <w:color w:val="auto"/>
              </w:rPr>
              <w:t>染</w:t>
            </w:r>
          </w:p>
          <w:p>
            <w:pPr>
              <w:pStyle w:val="56"/>
              <w:topLinePunct/>
              <w:rPr>
                <w:color w:val="auto"/>
              </w:rPr>
            </w:pPr>
            <w:r>
              <w:rPr>
                <w:color w:val="auto"/>
              </w:rPr>
              <w:t>物</w:t>
            </w:r>
          </w:p>
          <w:p>
            <w:pPr>
              <w:pStyle w:val="56"/>
              <w:topLinePunct/>
              <w:rPr>
                <w:color w:val="auto"/>
              </w:rPr>
            </w:pPr>
            <w:r>
              <w:rPr>
                <w:color w:val="auto"/>
              </w:rPr>
              <w:t>排</w:t>
            </w:r>
          </w:p>
          <w:p>
            <w:pPr>
              <w:pStyle w:val="56"/>
              <w:topLinePunct/>
              <w:rPr>
                <w:color w:val="auto"/>
              </w:rPr>
            </w:pPr>
            <w:r>
              <w:rPr>
                <w:color w:val="auto"/>
              </w:rPr>
              <w:t>放</w:t>
            </w:r>
          </w:p>
          <w:p>
            <w:pPr>
              <w:pStyle w:val="56"/>
              <w:topLinePunct/>
              <w:rPr>
                <w:color w:val="auto"/>
              </w:rPr>
            </w:pPr>
            <w:r>
              <w:rPr>
                <w:color w:val="auto"/>
              </w:rPr>
              <w:t>标</w:t>
            </w:r>
          </w:p>
          <w:p>
            <w:pPr>
              <w:pStyle w:val="56"/>
              <w:topLinePunct/>
              <w:rPr>
                <w:rFonts w:cs="Times New Roman"/>
                <w:color w:val="auto"/>
                <w:szCs w:val="24"/>
              </w:rPr>
            </w:pPr>
            <w:r>
              <w:rPr>
                <w:color w:val="auto"/>
              </w:rPr>
              <w:t>准</w:t>
            </w:r>
          </w:p>
        </w:tc>
        <w:tc>
          <w:tcPr>
            <w:tcW w:w="7985" w:type="dxa"/>
            <w:vAlign w:val="center"/>
          </w:tcPr>
          <w:p>
            <w:pPr>
              <w:pStyle w:val="55"/>
              <w:topLinePunct/>
              <w:ind w:firstLine="482"/>
              <w:rPr>
                <w:color w:val="auto"/>
              </w:rPr>
            </w:pPr>
            <w:r>
              <w:rPr>
                <w:rFonts w:hint="eastAsia"/>
                <w:color w:val="auto"/>
              </w:rPr>
              <w:t>1、废气</w:t>
            </w:r>
          </w:p>
          <w:p>
            <w:pPr>
              <w:ind w:firstLine="480"/>
              <w:rPr>
                <w:color w:val="auto"/>
                <w:szCs w:val="24"/>
              </w:rPr>
            </w:pPr>
            <w:r>
              <w:rPr>
                <w:rFonts w:hint="eastAsia"/>
                <w:color w:val="auto"/>
                <w:szCs w:val="24"/>
              </w:rPr>
              <w:t>（1）施工期</w:t>
            </w:r>
          </w:p>
          <w:p>
            <w:pPr>
              <w:ind w:firstLine="480"/>
              <w:rPr>
                <w:color w:val="auto"/>
              </w:rPr>
            </w:pPr>
            <w:r>
              <w:rPr>
                <w:rFonts w:hint="eastAsia"/>
                <w:color w:val="auto"/>
              </w:rPr>
              <w:t>施工期的</w:t>
            </w:r>
            <w:r>
              <w:rPr>
                <w:rStyle w:val="99"/>
                <w:rFonts w:hint="eastAsia"/>
                <w:color w:val="auto"/>
              </w:rPr>
              <w:t>施工扬尘</w:t>
            </w:r>
            <w:r>
              <w:rPr>
                <w:rFonts w:hint="eastAsia"/>
                <w:color w:val="auto"/>
              </w:rPr>
              <w:t>、</w:t>
            </w:r>
            <w:r>
              <w:rPr>
                <w:color w:val="auto"/>
                <w:kern w:val="0"/>
              </w:rPr>
              <w:t>施工运输车辆</w:t>
            </w:r>
            <w:r>
              <w:rPr>
                <w:rFonts w:hint="eastAsia"/>
                <w:color w:val="auto"/>
                <w:kern w:val="0"/>
              </w:rPr>
              <w:t>尾气</w:t>
            </w:r>
            <w:r>
              <w:rPr>
                <w:color w:val="auto"/>
                <w:kern w:val="0"/>
              </w:rPr>
              <w:t>和施工机械</w:t>
            </w:r>
            <w:r>
              <w:rPr>
                <w:rFonts w:hint="eastAsia"/>
                <w:color w:val="auto"/>
                <w:kern w:val="0"/>
              </w:rPr>
              <w:t>废气</w:t>
            </w:r>
            <w:r>
              <w:rPr>
                <w:rFonts w:hint="eastAsia"/>
                <w:color w:val="auto"/>
                <w:szCs w:val="24"/>
              </w:rPr>
              <w:t>执行广东省地方标准《大气污染物排放限值》</w:t>
            </w:r>
            <w:r>
              <w:rPr>
                <w:rFonts w:hint="eastAsia"/>
                <w:color w:val="auto"/>
              </w:rPr>
              <w:t>（DB 44/27-2001）中第二时段无组织排放监控浓度限值，具体标准值见下表</w:t>
            </w:r>
            <w:r>
              <w:rPr>
                <w:rFonts w:hint="eastAsia"/>
                <w:color w:val="auto"/>
                <w:spacing w:val="-4"/>
                <w:szCs w:val="24"/>
              </w:rPr>
              <w:t>；</w:t>
            </w:r>
            <w:r>
              <w:rPr>
                <w:rFonts w:hint="eastAsia"/>
                <w:color w:val="auto"/>
              </w:rPr>
              <w:t>具体标准要求见下表。</w:t>
            </w:r>
          </w:p>
          <w:p>
            <w:pPr>
              <w:pStyle w:val="56"/>
              <w:topLinePunct/>
              <w:rPr>
                <w:color w:val="auto"/>
              </w:rPr>
            </w:pPr>
            <w:r>
              <w:rPr>
                <w:color w:val="auto"/>
              </w:rPr>
              <w:t>表</w:t>
            </w:r>
            <w:r>
              <w:rPr>
                <w:rFonts w:hint="eastAsia"/>
                <w:color w:val="auto"/>
                <w:lang w:val="en-US" w:eastAsia="zh-CN"/>
              </w:rPr>
              <w:t>4-3</w:t>
            </w:r>
            <w:r>
              <w:rPr>
                <w:rFonts w:hint="eastAsia"/>
                <w:color w:val="auto"/>
              </w:rPr>
              <w:t xml:space="preserve">  </w:t>
            </w:r>
            <w:r>
              <w:rPr>
                <w:color w:val="auto"/>
              </w:rPr>
              <w:t>工程</w:t>
            </w:r>
            <w:r>
              <w:rPr>
                <w:rFonts w:hint="eastAsia"/>
                <w:color w:val="auto"/>
              </w:rPr>
              <w:t>施工期</w:t>
            </w:r>
            <w:r>
              <w:rPr>
                <w:color w:val="auto"/>
              </w:rPr>
              <w:t>废气执行标准</w:t>
            </w:r>
            <w:r>
              <w:rPr>
                <w:rFonts w:hint="eastAsia"/>
                <w:color w:val="auto"/>
              </w:rPr>
              <w:t xml:space="preserve">  单位：mg/m³</w:t>
            </w:r>
          </w:p>
          <w:tbl>
            <w:tblPr>
              <w:tblStyle w:val="39"/>
              <w:tblW w:w="780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61"/>
              <w:gridCol w:w="1562"/>
              <w:gridCol w:w="1561"/>
              <w:gridCol w:w="15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560" w:type="dxa"/>
                  <w:vAlign w:val="center"/>
                </w:tcPr>
                <w:p>
                  <w:pPr>
                    <w:pStyle w:val="57"/>
                    <w:rPr>
                      <w:color w:val="auto"/>
                    </w:rPr>
                  </w:pPr>
                  <w:r>
                    <w:rPr>
                      <w:rFonts w:hint="eastAsia"/>
                      <w:color w:val="auto"/>
                    </w:rPr>
                    <w:t>工程</w:t>
                  </w:r>
                </w:p>
              </w:tc>
              <w:tc>
                <w:tcPr>
                  <w:tcW w:w="1561" w:type="dxa"/>
                  <w:vAlign w:val="center"/>
                </w:tcPr>
                <w:p>
                  <w:pPr>
                    <w:pStyle w:val="57"/>
                    <w:rPr>
                      <w:color w:val="auto"/>
                    </w:rPr>
                  </w:pPr>
                  <w:r>
                    <w:rPr>
                      <w:rFonts w:hint="eastAsia"/>
                      <w:color w:val="auto"/>
                    </w:rPr>
                    <w:t>SO</w:t>
                  </w:r>
                  <w:r>
                    <w:rPr>
                      <w:rFonts w:hint="eastAsia"/>
                      <w:color w:val="auto"/>
                      <w:vertAlign w:val="subscript"/>
                    </w:rPr>
                    <w:t>2</w:t>
                  </w:r>
                </w:p>
              </w:tc>
              <w:tc>
                <w:tcPr>
                  <w:tcW w:w="1562" w:type="dxa"/>
                  <w:vAlign w:val="center"/>
                </w:tcPr>
                <w:p>
                  <w:pPr>
                    <w:pStyle w:val="57"/>
                    <w:rPr>
                      <w:color w:val="auto"/>
                    </w:rPr>
                  </w:pPr>
                  <w:r>
                    <w:rPr>
                      <w:rFonts w:hint="eastAsia"/>
                      <w:color w:val="auto"/>
                    </w:rPr>
                    <w:t>NO</w:t>
                  </w:r>
                  <w:r>
                    <w:rPr>
                      <w:rFonts w:hint="eastAsia"/>
                      <w:color w:val="auto"/>
                      <w:vertAlign w:val="subscript"/>
                    </w:rPr>
                    <w:t>X</w:t>
                  </w:r>
                </w:p>
              </w:tc>
              <w:tc>
                <w:tcPr>
                  <w:tcW w:w="1561" w:type="dxa"/>
                  <w:vAlign w:val="center"/>
                </w:tcPr>
                <w:p>
                  <w:pPr>
                    <w:pStyle w:val="57"/>
                    <w:rPr>
                      <w:color w:val="auto"/>
                    </w:rPr>
                  </w:pPr>
                  <w:r>
                    <w:rPr>
                      <w:rFonts w:hint="eastAsia"/>
                      <w:color w:val="auto"/>
                    </w:rPr>
                    <w:t>颗粒物</w:t>
                  </w:r>
                </w:p>
              </w:tc>
              <w:tc>
                <w:tcPr>
                  <w:tcW w:w="1562" w:type="dxa"/>
                  <w:vAlign w:val="center"/>
                </w:tcPr>
                <w:p>
                  <w:pPr>
                    <w:pStyle w:val="57"/>
                    <w:rPr>
                      <w:color w:val="auto"/>
                    </w:rPr>
                  </w:pPr>
                  <w:r>
                    <w:rPr>
                      <w:rFonts w:hint="eastAsia"/>
                      <w:color w:val="auto"/>
                    </w:rPr>
                    <w:t>CO</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560" w:type="dxa"/>
                  <w:vAlign w:val="center"/>
                </w:tcPr>
                <w:p>
                  <w:pPr>
                    <w:pStyle w:val="57"/>
                    <w:rPr>
                      <w:color w:val="auto"/>
                    </w:rPr>
                  </w:pPr>
                  <w:r>
                    <w:rPr>
                      <w:rFonts w:hint="eastAsia"/>
                      <w:color w:val="auto"/>
                    </w:rPr>
                    <w:t>无组织排放监控浓度限值</w:t>
                  </w:r>
                </w:p>
              </w:tc>
              <w:tc>
                <w:tcPr>
                  <w:tcW w:w="1561" w:type="dxa"/>
                  <w:vAlign w:val="center"/>
                </w:tcPr>
                <w:p>
                  <w:pPr>
                    <w:pStyle w:val="57"/>
                    <w:rPr>
                      <w:color w:val="auto"/>
                    </w:rPr>
                  </w:pPr>
                  <w:r>
                    <w:rPr>
                      <w:color w:val="auto"/>
                    </w:rPr>
                    <w:t>0.40</w:t>
                  </w:r>
                </w:p>
              </w:tc>
              <w:tc>
                <w:tcPr>
                  <w:tcW w:w="1562" w:type="dxa"/>
                  <w:vAlign w:val="center"/>
                </w:tcPr>
                <w:p>
                  <w:pPr>
                    <w:pStyle w:val="57"/>
                    <w:rPr>
                      <w:color w:val="auto"/>
                    </w:rPr>
                  </w:pPr>
                  <w:r>
                    <w:rPr>
                      <w:color w:val="auto"/>
                    </w:rPr>
                    <w:t>0.12</w:t>
                  </w:r>
                </w:p>
              </w:tc>
              <w:tc>
                <w:tcPr>
                  <w:tcW w:w="1561" w:type="dxa"/>
                  <w:vAlign w:val="center"/>
                </w:tcPr>
                <w:p>
                  <w:pPr>
                    <w:pStyle w:val="57"/>
                    <w:rPr>
                      <w:color w:val="auto"/>
                    </w:rPr>
                  </w:pPr>
                  <w:r>
                    <w:rPr>
                      <w:color w:val="auto"/>
                    </w:rPr>
                    <w:t>1.0</w:t>
                  </w:r>
                </w:p>
              </w:tc>
              <w:tc>
                <w:tcPr>
                  <w:tcW w:w="1562" w:type="dxa"/>
                  <w:vAlign w:val="center"/>
                </w:tcPr>
                <w:p>
                  <w:pPr>
                    <w:pStyle w:val="57"/>
                    <w:rPr>
                      <w:color w:val="auto"/>
                    </w:rPr>
                  </w:pPr>
                  <w:r>
                    <w:rPr>
                      <w:color w:val="auto"/>
                    </w:rPr>
                    <w:t>8</w:t>
                  </w:r>
                </w:p>
              </w:tc>
            </w:tr>
          </w:tbl>
          <w:p>
            <w:pPr>
              <w:ind w:firstLine="480"/>
              <w:rPr>
                <w:b w:val="0"/>
                <w:bCs w:val="0"/>
                <w:color w:val="auto"/>
              </w:rPr>
            </w:pPr>
            <w:r>
              <w:rPr>
                <w:rFonts w:hint="eastAsia"/>
                <w:color w:val="auto"/>
              </w:rPr>
              <w:t>（2）</w:t>
            </w:r>
            <w:r>
              <w:rPr>
                <w:color w:val="auto"/>
              </w:rPr>
              <w:t>运营期</w:t>
            </w:r>
          </w:p>
          <w:p>
            <w:pPr>
              <w:pStyle w:val="55"/>
              <w:topLinePunct/>
              <w:ind w:firstLine="482"/>
              <w:rPr>
                <w:color w:val="auto"/>
              </w:rPr>
            </w:pPr>
            <w:r>
              <w:rPr>
                <w:rFonts w:hint="eastAsia"/>
                <w:b w:val="0"/>
                <w:bCs w:val="0"/>
                <w:color w:val="auto"/>
                <w:lang w:eastAsia="zh-CN"/>
              </w:rPr>
              <w:t>项目</w:t>
            </w:r>
            <w:r>
              <w:rPr>
                <w:b w:val="0"/>
                <w:bCs w:val="0"/>
                <w:color w:val="auto"/>
              </w:rPr>
              <w:t>运营期</w:t>
            </w:r>
            <w:r>
              <w:rPr>
                <w:rFonts w:hint="eastAsia"/>
                <w:b w:val="0"/>
                <w:bCs w:val="0"/>
                <w:color w:val="auto"/>
                <w:lang w:eastAsia="zh-CN"/>
              </w:rPr>
              <w:t>废气主要为</w:t>
            </w:r>
            <w:r>
              <w:rPr>
                <w:rFonts w:ascii="Times New Roman" w:hAnsi="Times New Roman" w:cs="Times New Roman"/>
                <w:b w:val="0"/>
                <w:bCs w:val="0"/>
                <w:color w:val="auto"/>
              </w:rPr>
              <w:t>厨房油烟</w:t>
            </w:r>
            <w:r>
              <w:rPr>
                <w:rFonts w:hint="eastAsia" w:ascii="Times New Roman" w:hAnsi="Times New Roman" w:cs="Times New Roman"/>
                <w:b w:val="0"/>
                <w:bCs w:val="0"/>
                <w:color w:val="auto"/>
                <w:lang w:eastAsia="zh-CN"/>
              </w:rPr>
              <w:t>，通过</w:t>
            </w:r>
            <w:r>
              <w:rPr>
                <w:rFonts w:ascii="Times New Roman" w:hAnsi="Times New Roman" w:cs="Times New Roman"/>
                <w:b w:val="0"/>
                <w:bCs w:val="0"/>
                <w:color w:val="auto"/>
                <w:sz w:val="24"/>
                <w:szCs w:val="24"/>
              </w:rPr>
              <w:t>采用吸排油烟机收集处理后</w:t>
            </w:r>
            <w:r>
              <w:rPr>
                <w:rFonts w:hint="eastAsia" w:ascii="Times New Roman" w:hAnsi="Times New Roman" w:cs="Times New Roman"/>
                <w:b w:val="0"/>
                <w:bCs w:val="0"/>
                <w:color w:val="auto"/>
                <w:sz w:val="24"/>
                <w:szCs w:val="24"/>
                <w:lang w:eastAsia="zh-CN"/>
              </w:rPr>
              <w:t>，</w:t>
            </w:r>
            <w:r>
              <w:rPr>
                <w:rFonts w:ascii="Times New Roman" w:hAnsi="Times New Roman" w:cs="Times New Roman"/>
                <w:b w:val="0"/>
                <w:bCs w:val="0"/>
                <w:color w:val="auto"/>
                <w:sz w:val="24"/>
                <w:szCs w:val="24"/>
              </w:rPr>
              <w:t>引至食堂楼顶排放</w:t>
            </w:r>
            <w:r>
              <w:rPr>
                <w:rFonts w:hint="eastAsia"/>
                <w:b w:val="0"/>
                <w:bCs w:val="0"/>
                <w:color w:val="auto"/>
                <w:lang w:eastAsia="zh-CN"/>
              </w:rPr>
              <w:t>，</w:t>
            </w:r>
            <w:r>
              <w:rPr>
                <w:rFonts w:ascii="Times New Roman" w:hAnsi="Times New Roman" w:cs="Times New Roman"/>
                <w:b w:val="0"/>
                <w:bCs w:val="0"/>
                <w:color w:val="auto"/>
                <w:sz w:val="24"/>
                <w:szCs w:val="24"/>
              </w:rPr>
              <w:t>油烟产生量非常少</w:t>
            </w:r>
            <w:r>
              <w:rPr>
                <w:rFonts w:hint="eastAsia" w:ascii="Times New Roman" w:hAnsi="Times New Roman" w:cs="Times New Roman"/>
                <w:b w:val="0"/>
                <w:bCs w:val="0"/>
                <w:color w:val="auto"/>
                <w:sz w:val="24"/>
                <w:szCs w:val="24"/>
                <w:lang w:eastAsia="zh-CN"/>
              </w:rPr>
              <w:t>，</w:t>
            </w:r>
            <w:r>
              <w:rPr>
                <w:rFonts w:ascii="Times New Roman" w:hAnsi="Times New Roman" w:cs="Times New Roman"/>
                <w:b w:val="0"/>
                <w:bCs w:val="0"/>
                <w:color w:val="auto"/>
                <w:sz w:val="24"/>
                <w:szCs w:val="24"/>
              </w:rPr>
              <w:t>对周边环境影响不大</w:t>
            </w:r>
            <w:r>
              <w:rPr>
                <w:rFonts w:hint="eastAsia"/>
                <w:b w:val="0"/>
                <w:bCs w:val="0"/>
                <w:color w:val="auto"/>
                <w:lang w:eastAsia="zh-CN"/>
              </w:rPr>
              <w:t>。</w:t>
            </w:r>
          </w:p>
          <w:p>
            <w:pPr>
              <w:pStyle w:val="55"/>
              <w:topLinePunct/>
              <w:ind w:firstLine="482"/>
              <w:rPr>
                <w:color w:val="auto"/>
              </w:rPr>
            </w:pPr>
            <w:r>
              <w:rPr>
                <w:rFonts w:hint="eastAsia"/>
                <w:color w:val="auto"/>
              </w:rPr>
              <w:t>2、废水</w:t>
            </w:r>
          </w:p>
          <w:p>
            <w:pPr>
              <w:ind w:firstLine="480"/>
              <w:rPr>
                <w:color w:val="auto"/>
              </w:rPr>
            </w:pPr>
            <w:r>
              <w:rPr>
                <w:rFonts w:hint="eastAsia"/>
                <w:color w:val="auto"/>
              </w:rPr>
              <w:t>（1）施工期</w:t>
            </w:r>
          </w:p>
          <w:p>
            <w:pPr>
              <w:ind w:firstLine="480"/>
              <w:rPr>
                <w:color w:val="auto"/>
              </w:rPr>
            </w:pPr>
            <w:r>
              <w:rPr>
                <w:rFonts w:hint="eastAsia"/>
                <w:color w:val="auto"/>
              </w:rPr>
              <w:t>施工期的废水主要来自建筑施工废水和施工人员的生活污水，施工人员的盥洗用水借助周边村民的卫生设施，不作分析；建筑施工废水收集后经临时隔油沉淀池处理后回用于施工场地，不外排入地表水体。</w:t>
            </w:r>
          </w:p>
          <w:p>
            <w:pPr>
              <w:ind w:firstLine="480"/>
              <w:rPr>
                <w:color w:val="auto"/>
              </w:rPr>
            </w:pPr>
            <w:r>
              <w:rPr>
                <w:rFonts w:hint="eastAsia"/>
                <w:color w:val="auto"/>
              </w:rPr>
              <w:t>（2）运营期</w:t>
            </w:r>
          </w:p>
          <w:p>
            <w:pPr>
              <w:ind w:firstLine="480"/>
              <w:rPr>
                <w:color w:val="auto"/>
              </w:rPr>
            </w:pPr>
            <w:r>
              <w:rPr>
                <w:rFonts w:hint="eastAsia"/>
                <w:color w:val="auto"/>
              </w:rPr>
              <w:t>运营期废水主要为员工生活污水，</w:t>
            </w:r>
            <w:r>
              <w:rPr>
                <w:color w:val="auto"/>
              </w:rPr>
              <w:t>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color w:val="auto"/>
              </w:rPr>
              <w:t>处理</w:t>
            </w:r>
            <w:r>
              <w:rPr>
                <w:rFonts w:hint="eastAsia"/>
                <w:color w:val="auto"/>
              </w:rPr>
              <w:t>达到《</w:t>
            </w:r>
            <w:r>
              <w:rPr>
                <w:color w:val="auto"/>
              </w:rPr>
              <w:t>农田灌溉水质标准》（GB5084-2005）旱作标准后回用于</w:t>
            </w:r>
            <w:r>
              <w:rPr>
                <w:rFonts w:hint="eastAsia"/>
                <w:color w:val="auto"/>
              </w:rPr>
              <w:t>周边林地灌溉</w:t>
            </w:r>
            <w:r>
              <w:rPr>
                <w:color w:val="auto"/>
              </w:rPr>
              <w:t>。</w:t>
            </w:r>
          </w:p>
          <w:p>
            <w:pPr>
              <w:snapToGrid w:val="0"/>
              <w:ind w:firstLine="482"/>
              <w:jc w:val="center"/>
              <w:rPr>
                <w:b/>
                <w:bCs/>
                <w:color w:val="auto"/>
              </w:rPr>
            </w:pPr>
            <w:r>
              <w:rPr>
                <w:b/>
                <w:bCs/>
                <w:color w:val="auto"/>
              </w:rPr>
              <w:t>表</w:t>
            </w:r>
            <w:r>
              <w:rPr>
                <w:rFonts w:hint="eastAsia"/>
                <w:b/>
                <w:bCs/>
                <w:color w:val="auto"/>
                <w:lang w:val="en-US" w:eastAsia="zh-CN"/>
              </w:rPr>
              <w:t>4-4</w:t>
            </w:r>
            <w:r>
              <w:rPr>
                <w:b/>
                <w:bCs/>
                <w:color w:val="auto"/>
              </w:rPr>
              <w:t xml:space="preserve">  </w:t>
            </w:r>
            <w:r>
              <w:rPr>
                <w:b/>
                <w:color w:val="auto"/>
              </w:rPr>
              <w:t>《农田灌溉水质标准》（摘录）</w:t>
            </w:r>
            <w:r>
              <w:rPr>
                <w:color w:val="auto"/>
                <w:szCs w:val="24"/>
              </w:rPr>
              <w:t xml:space="preserve">  </w:t>
            </w:r>
            <w:r>
              <w:rPr>
                <w:color w:val="auto"/>
              </w:rPr>
              <w:t>单位：mg/L（pH</w:t>
            </w:r>
            <w:r>
              <w:rPr>
                <w:rFonts w:hint="eastAsia"/>
                <w:color w:val="auto"/>
              </w:rPr>
              <w:t>无量纲</w:t>
            </w:r>
            <w:r>
              <w:rPr>
                <w:color w:val="auto"/>
              </w:rPr>
              <w:t>）</w:t>
            </w:r>
          </w:p>
          <w:tbl>
            <w:tblPr>
              <w:tblStyle w:val="39"/>
              <w:tblW w:w="7808" w:type="dxa"/>
              <w:jc w:val="center"/>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47"/>
              <w:gridCol w:w="1272"/>
              <w:gridCol w:w="1272"/>
              <w:gridCol w:w="1272"/>
              <w:gridCol w:w="1272"/>
              <w:gridCol w:w="1273"/>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447" w:type="dxa"/>
                  <w:tcMar>
                    <w:top w:w="0" w:type="dxa"/>
                    <w:left w:w="28" w:type="dxa"/>
                    <w:bottom w:w="0" w:type="dxa"/>
                    <w:right w:w="28" w:type="dxa"/>
                  </w:tcMar>
                  <w:vAlign w:val="center"/>
                </w:tcPr>
                <w:p>
                  <w:pPr>
                    <w:pStyle w:val="57"/>
                    <w:rPr>
                      <w:color w:val="auto"/>
                    </w:rPr>
                  </w:pPr>
                  <w:r>
                    <w:rPr>
                      <w:color w:val="auto"/>
                    </w:rPr>
                    <w:t>项目</w:t>
                  </w:r>
                </w:p>
              </w:tc>
              <w:tc>
                <w:tcPr>
                  <w:tcW w:w="1272" w:type="dxa"/>
                  <w:tcMar>
                    <w:top w:w="0" w:type="dxa"/>
                    <w:left w:w="28" w:type="dxa"/>
                    <w:bottom w:w="0" w:type="dxa"/>
                    <w:right w:w="28" w:type="dxa"/>
                  </w:tcMar>
                  <w:vAlign w:val="center"/>
                </w:tcPr>
                <w:p>
                  <w:pPr>
                    <w:pStyle w:val="57"/>
                    <w:rPr>
                      <w:color w:val="auto"/>
                    </w:rPr>
                  </w:pPr>
                  <w:r>
                    <w:rPr>
                      <w:color w:val="auto"/>
                    </w:rPr>
                    <w:t>pH</w:t>
                  </w:r>
                </w:p>
              </w:tc>
              <w:tc>
                <w:tcPr>
                  <w:tcW w:w="1272" w:type="dxa"/>
                  <w:tcMar>
                    <w:top w:w="0" w:type="dxa"/>
                    <w:left w:w="28" w:type="dxa"/>
                    <w:bottom w:w="0" w:type="dxa"/>
                    <w:right w:w="28" w:type="dxa"/>
                  </w:tcMar>
                  <w:vAlign w:val="center"/>
                </w:tcPr>
                <w:p>
                  <w:pPr>
                    <w:pStyle w:val="57"/>
                    <w:rPr>
                      <w:color w:val="auto"/>
                    </w:rPr>
                  </w:pPr>
                  <w:r>
                    <w:rPr>
                      <w:color w:val="auto"/>
                    </w:rPr>
                    <w:t>COD</w:t>
                  </w:r>
                  <w:r>
                    <w:rPr>
                      <w:color w:val="auto"/>
                      <w:vertAlign w:val="subscript"/>
                    </w:rPr>
                    <w:t>Cr</w:t>
                  </w:r>
                </w:p>
              </w:tc>
              <w:tc>
                <w:tcPr>
                  <w:tcW w:w="1272" w:type="dxa"/>
                  <w:tcMar>
                    <w:top w:w="0" w:type="dxa"/>
                    <w:left w:w="28" w:type="dxa"/>
                    <w:bottom w:w="0" w:type="dxa"/>
                    <w:right w:w="28" w:type="dxa"/>
                  </w:tcMar>
                  <w:vAlign w:val="center"/>
                </w:tcPr>
                <w:p>
                  <w:pPr>
                    <w:pStyle w:val="57"/>
                    <w:rPr>
                      <w:color w:val="auto"/>
                    </w:rPr>
                  </w:pPr>
                  <w:r>
                    <w:rPr>
                      <w:color w:val="auto"/>
                    </w:rPr>
                    <w:t>BOD</w:t>
                  </w:r>
                  <w:r>
                    <w:rPr>
                      <w:color w:val="auto"/>
                      <w:vertAlign w:val="subscript"/>
                    </w:rPr>
                    <w:t>5</w:t>
                  </w:r>
                </w:p>
              </w:tc>
              <w:tc>
                <w:tcPr>
                  <w:tcW w:w="1272" w:type="dxa"/>
                  <w:tcMar>
                    <w:top w:w="0" w:type="dxa"/>
                    <w:left w:w="28" w:type="dxa"/>
                    <w:bottom w:w="0" w:type="dxa"/>
                    <w:right w:w="28" w:type="dxa"/>
                  </w:tcMar>
                  <w:vAlign w:val="center"/>
                </w:tcPr>
                <w:p>
                  <w:pPr>
                    <w:pStyle w:val="57"/>
                    <w:rPr>
                      <w:color w:val="auto"/>
                    </w:rPr>
                  </w:pPr>
                  <w:r>
                    <w:rPr>
                      <w:color w:val="auto"/>
                    </w:rPr>
                    <w:t>SS</w:t>
                  </w:r>
                </w:p>
              </w:tc>
              <w:tc>
                <w:tcPr>
                  <w:tcW w:w="1273" w:type="dxa"/>
                  <w:tcMar>
                    <w:top w:w="0" w:type="dxa"/>
                    <w:left w:w="28" w:type="dxa"/>
                    <w:bottom w:w="0" w:type="dxa"/>
                    <w:right w:w="28" w:type="dxa"/>
                  </w:tcMar>
                  <w:vAlign w:val="center"/>
                </w:tcPr>
                <w:p>
                  <w:pPr>
                    <w:pStyle w:val="57"/>
                    <w:rPr>
                      <w:rFonts w:hint="eastAsia" w:eastAsia="宋体"/>
                      <w:color w:val="auto"/>
                      <w:lang w:eastAsia="zh-CN"/>
                    </w:rPr>
                  </w:pPr>
                  <w:r>
                    <w:rPr>
                      <w:rFonts w:hint="eastAsia"/>
                      <w:color w:val="auto"/>
                      <w:lang w:eastAsia="zh-CN"/>
                    </w:rPr>
                    <w:t>动植物油</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447" w:type="dxa"/>
                  <w:tcMar>
                    <w:top w:w="0" w:type="dxa"/>
                    <w:left w:w="28" w:type="dxa"/>
                    <w:bottom w:w="0" w:type="dxa"/>
                    <w:right w:w="28" w:type="dxa"/>
                  </w:tcMar>
                  <w:vAlign w:val="center"/>
                </w:tcPr>
                <w:p>
                  <w:pPr>
                    <w:pStyle w:val="57"/>
                    <w:rPr>
                      <w:color w:val="auto"/>
                    </w:rPr>
                  </w:pPr>
                  <w:r>
                    <w:rPr>
                      <w:color w:val="auto"/>
                    </w:rPr>
                    <w:t>旱作</w:t>
                  </w:r>
                </w:p>
              </w:tc>
              <w:tc>
                <w:tcPr>
                  <w:tcW w:w="1272" w:type="dxa"/>
                  <w:tcMar>
                    <w:top w:w="0" w:type="dxa"/>
                    <w:left w:w="28" w:type="dxa"/>
                    <w:bottom w:w="0" w:type="dxa"/>
                    <w:right w:w="28" w:type="dxa"/>
                  </w:tcMar>
                  <w:vAlign w:val="center"/>
                </w:tcPr>
                <w:p>
                  <w:pPr>
                    <w:pStyle w:val="57"/>
                    <w:rPr>
                      <w:color w:val="auto"/>
                    </w:rPr>
                  </w:pPr>
                  <w:r>
                    <w:rPr>
                      <w:color w:val="auto"/>
                    </w:rPr>
                    <w:t>5.5～8.5</w:t>
                  </w:r>
                </w:p>
              </w:tc>
              <w:tc>
                <w:tcPr>
                  <w:tcW w:w="1272" w:type="dxa"/>
                  <w:tcMar>
                    <w:top w:w="0" w:type="dxa"/>
                    <w:left w:w="28" w:type="dxa"/>
                    <w:bottom w:w="0" w:type="dxa"/>
                    <w:right w:w="28" w:type="dxa"/>
                  </w:tcMar>
                  <w:vAlign w:val="center"/>
                </w:tcPr>
                <w:p>
                  <w:pPr>
                    <w:pStyle w:val="57"/>
                    <w:rPr>
                      <w:color w:val="auto"/>
                    </w:rPr>
                  </w:pPr>
                  <w:r>
                    <w:rPr>
                      <w:color w:val="auto"/>
                      <w:spacing w:val="5"/>
                    </w:rPr>
                    <w:t>≤</w:t>
                  </w:r>
                  <w:r>
                    <w:rPr>
                      <w:color w:val="auto"/>
                    </w:rPr>
                    <w:t>200</w:t>
                  </w:r>
                </w:p>
              </w:tc>
              <w:tc>
                <w:tcPr>
                  <w:tcW w:w="1272" w:type="dxa"/>
                  <w:tcMar>
                    <w:top w:w="0" w:type="dxa"/>
                    <w:left w:w="28" w:type="dxa"/>
                    <w:bottom w:w="0" w:type="dxa"/>
                    <w:right w:w="28" w:type="dxa"/>
                  </w:tcMar>
                  <w:vAlign w:val="center"/>
                </w:tcPr>
                <w:p>
                  <w:pPr>
                    <w:pStyle w:val="57"/>
                    <w:rPr>
                      <w:color w:val="auto"/>
                    </w:rPr>
                  </w:pPr>
                  <w:r>
                    <w:rPr>
                      <w:color w:val="auto"/>
                      <w:spacing w:val="5"/>
                    </w:rPr>
                    <w:t>≤</w:t>
                  </w:r>
                  <w:r>
                    <w:rPr>
                      <w:color w:val="auto"/>
                    </w:rPr>
                    <w:t>100</w:t>
                  </w:r>
                </w:p>
              </w:tc>
              <w:tc>
                <w:tcPr>
                  <w:tcW w:w="1272" w:type="dxa"/>
                  <w:tcMar>
                    <w:top w:w="0" w:type="dxa"/>
                    <w:left w:w="28" w:type="dxa"/>
                    <w:bottom w:w="0" w:type="dxa"/>
                    <w:right w:w="28" w:type="dxa"/>
                  </w:tcMar>
                  <w:vAlign w:val="center"/>
                </w:tcPr>
                <w:p>
                  <w:pPr>
                    <w:pStyle w:val="57"/>
                    <w:rPr>
                      <w:color w:val="auto"/>
                    </w:rPr>
                  </w:pPr>
                  <w:r>
                    <w:rPr>
                      <w:color w:val="auto"/>
                      <w:spacing w:val="5"/>
                    </w:rPr>
                    <w:t>≤</w:t>
                  </w:r>
                  <w:r>
                    <w:rPr>
                      <w:color w:val="auto"/>
                    </w:rPr>
                    <w:t>100</w:t>
                  </w:r>
                </w:p>
              </w:tc>
              <w:tc>
                <w:tcPr>
                  <w:tcW w:w="1273" w:type="dxa"/>
                  <w:tcMar>
                    <w:top w:w="0" w:type="dxa"/>
                    <w:left w:w="28" w:type="dxa"/>
                    <w:bottom w:w="0" w:type="dxa"/>
                    <w:right w:w="28" w:type="dxa"/>
                  </w:tcMar>
                  <w:vAlign w:val="center"/>
                </w:tcPr>
                <w:p>
                  <w:pPr>
                    <w:pStyle w:val="57"/>
                    <w:rPr>
                      <w:rFonts w:hint="eastAsia" w:eastAsia="宋体"/>
                      <w:color w:val="auto"/>
                      <w:spacing w:val="5"/>
                      <w:lang w:val="en-US" w:eastAsia="zh-CN"/>
                    </w:rPr>
                  </w:pPr>
                  <w:r>
                    <w:rPr>
                      <w:rFonts w:hint="eastAsia"/>
                      <w:color w:val="auto"/>
                      <w:spacing w:val="5"/>
                      <w:lang w:val="en-US" w:eastAsia="zh-CN"/>
                    </w:rPr>
                    <w:t>/</w:t>
                  </w:r>
                </w:p>
              </w:tc>
            </w:tr>
          </w:tbl>
          <w:p>
            <w:pPr>
              <w:ind w:firstLine="480"/>
              <w:rPr>
                <w:color w:val="auto"/>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Ex>
        <w:trPr>
          <w:trHeight w:val="397" w:hRule="atLeast"/>
          <w:jc w:val="center"/>
        </w:trPr>
        <w:tc>
          <w:tcPr>
            <w:tcW w:w="713" w:type="dxa"/>
            <w:vAlign w:val="center"/>
          </w:tcPr>
          <w:p>
            <w:pPr>
              <w:pStyle w:val="56"/>
              <w:topLinePunct/>
              <w:rPr>
                <w:color w:val="auto"/>
              </w:rPr>
            </w:pPr>
            <w:r>
              <w:rPr>
                <w:color w:val="auto"/>
              </w:rPr>
              <w:t>污</w:t>
            </w:r>
          </w:p>
          <w:p>
            <w:pPr>
              <w:pStyle w:val="56"/>
              <w:topLinePunct/>
              <w:rPr>
                <w:color w:val="auto"/>
              </w:rPr>
            </w:pPr>
            <w:r>
              <w:rPr>
                <w:color w:val="auto"/>
              </w:rPr>
              <w:t>染</w:t>
            </w:r>
          </w:p>
          <w:p>
            <w:pPr>
              <w:pStyle w:val="56"/>
              <w:topLinePunct/>
              <w:rPr>
                <w:color w:val="auto"/>
              </w:rPr>
            </w:pPr>
            <w:r>
              <w:rPr>
                <w:color w:val="auto"/>
              </w:rPr>
              <w:t>物</w:t>
            </w:r>
          </w:p>
          <w:p>
            <w:pPr>
              <w:pStyle w:val="56"/>
              <w:topLinePunct/>
              <w:rPr>
                <w:color w:val="auto"/>
              </w:rPr>
            </w:pPr>
            <w:r>
              <w:rPr>
                <w:color w:val="auto"/>
              </w:rPr>
              <w:t>排</w:t>
            </w:r>
          </w:p>
          <w:p>
            <w:pPr>
              <w:pStyle w:val="56"/>
              <w:topLinePunct/>
              <w:rPr>
                <w:color w:val="auto"/>
              </w:rPr>
            </w:pPr>
            <w:r>
              <w:rPr>
                <w:color w:val="auto"/>
              </w:rPr>
              <w:t>放</w:t>
            </w:r>
          </w:p>
          <w:p>
            <w:pPr>
              <w:pStyle w:val="56"/>
              <w:topLinePunct/>
              <w:rPr>
                <w:color w:val="auto"/>
              </w:rPr>
            </w:pPr>
            <w:r>
              <w:rPr>
                <w:color w:val="auto"/>
              </w:rPr>
              <w:t>标</w:t>
            </w:r>
          </w:p>
          <w:p>
            <w:pPr>
              <w:pStyle w:val="56"/>
              <w:topLinePunct/>
              <w:rPr>
                <w:color w:val="auto"/>
              </w:rPr>
            </w:pPr>
            <w:r>
              <w:rPr>
                <w:color w:val="auto"/>
              </w:rPr>
              <w:t>准</w:t>
            </w:r>
          </w:p>
        </w:tc>
        <w:tc>
          <w:tcPr>
            <w:tcW w:w="7985" w:type="dxa"/>
            <w:vAlign w:val="center"/>
          </w:tcPr>
          <w:p>
            <w:pPr>
              <w:pStyle w:val="55"/>
              <w:topLinePunct/>
              <w:ind w:firstLine="482"/>
              <w:rPr>
                <w:color w:val="auto"/>
              </w:rPr>
            </w:pPr>
            <w:r>
              <w:rPr>
                <w:rFonts w:hint="eastAsia"/>
                <w:color w:val="auto"/>
              </w:rPr>
              <w:t>3、噪声</w:t>
            </w:r>
          </w:p>
          <w:p>
            <w:pPr>
              <w:ind w:firstLine="480"/>
              <w:rPr>
                <w:color w:val="auto"/>
              </w:rPr>
            </w:pPr>
            <w:r>
              <w:rPr>
                <w:rFonts w:hint="eastAsia"/>
                <w:color w:val="auto"/>
              </w:rPr>
              <w:t>施工期噪声执行</w:t>
            </w:r>
            <w:r>
              <w:rPr>
                <w:color w:val="auto"/>
              </w:rPr>
              <w:t>《建筑施工场界</w:t>
            </w:r>
            <w:r>
              <w:rPr>
                <w:rFonts w:hint="eastAsia"/>
                <w:color w:val="auto"/>
              </w:rPr>
              <w:t>环境噪声排放标准</w:t>
            </w:r>
            <w:r>
              <w:rPr>
                <w:color w:val="auto"/>
              </w:rPr>
              <w:t>》（GB12523-</w:t>
            </w:r>
            <w:r>
              <w:rPr>
                <w:rFonts w:hint="eastAsia"/>
                <w:color w:val="auto"/>
              </w:rPr>
              <w:t>2011</w:t>
            </w:r>
            <w:r>
              <w:rPr>
                <w:color w:val="auto"/>
              </w:rPr>
              <w:t>）</w:t>
            </w:r>
            <w:r>
              <w:rPr>
                <w:rFonts w:hint="eastAsia"/>
                <w:color w:val="auto"/>
              </w:rPr>
              <w:t>，即昼间≤70dB（A），夜间≤55dB（A）</w:t>
            </w:r>
            <w:r>
              <w:rPr>
                <w:color w:val="auto"/>
              </w:rPr>
              <w:t>。</w:t>
            </w:r>
          </w:p>
          <w:p>
            <w:pPr>
              <w:ind w:firstLine="480"/>
              <w:rPr>
                <w:color w:val="auto"/>
              </w:rPr>
            </w:pPr>
            <w:r>
              <w:rPr>
                <w:rFonts w:hint="eastAsia"/>
                <w:color w:val="auto"/>
              </w:rPr>
              <w:t>营运期噪声执行《工业企业厂界环境噪声排放标准》（GB12348-2008）中的2类标准，即昼间≤60dB（A），夜间≤50dB（A）。</w:t>
            </w:r>
          </w:p>
          <w:p>
            <w:pPr>
              <w:pStyle w:val="55"/>
              <w:topLinePunct/>
              <w:ind w:firstLine="482"/>
              <w:rPr>
                <w:color w:val="auto"/>
              </w:rPr>
            </w:pPr>
            <w:r>
              <w:rPr>
                <w:rFonts w:hint="eastAsia"/>
                <w:color w:val="auto"/>
              </w:rPr>
              <w:t>4、固废</w:t>
            </w:r>
          </w:p>
          <w:p>
            <w:pPr>
              <w:topLinePunct/>
              <w:ind w:firstLine="480"/>
              <w:rPr>
                <w:color w:val="auto"/>
              </w:rPr>
            </w:pPr>
            <w:r>
              <w:rPr>
                <w:rFonts w:hint="eastAsia"/>
                <w:color w:val="auto"/>
              </w:rPr>
              <w:t>施工期</w:t>
            </w:r>
            <w:r>
              <w:rPr>
                <w:color w:val="auto"/>
              </w:rPr>
              <w:t>固废处理执行《一般工业固废贮存、处置场污染控制标准》</w:t>
            </w:r>
            <w:r>
              <w:rPr>
                <w:rFonts w:hint="eastAsia"/>
                <w:color w:val="auto"/>
              </w:rPr>
              <w:t>（</w:t>
            </w:r>
            <w:r>
              <w:rPr>
                <w:color w:val="auto"/>
              </w:rPr>
              <w:t>GB18599-2001</w:t>
            </w:r>
            <w:r>
              <w:rPr>
                <w:rFonts w:hint="eastAsia"/>
                <w:color w:val="auto"/>
              </w:rPr>
              <w:t>）及其2013年</w:t>
            </w:r>
            <w:r>
              <w:rPr>
                <w:color w:val="auto"/>
              </w:rPr>
              <w:t>修改单。</w:t>
            </w:r>
          </w:p>
          <w:p>
            <w:pPr>
              <w:topLinePunct/>
              <w:ind w:firstLine="480"/>
              <w:rPr>
                <w:color w:val="auto"/>
              </w:rPr>
            </w:pPr>
            <w:r>
              <w:rPr>
                <w:color w:val="auto"/>
              </w:rPr>
              <w:t>本工程</w:t>
            </w:r>
            <w:r>
              <w:rPr>
                <w:rFonts w:hint="eastAsia"/>
                <w:color w:val="auto"/>
              </w:rPr>
              <w:t>运营期固废处理执行《一般工业固废贮存、处置场污染控制标准》（GB18599-2001）以及《关于发布&lt;一般工业固体废物贮存、处置场污染控制标准&gt;（GB18599- 2001）等3项国家污染物控制标准修改单的公告》。</w:t>
            </w:r>
          </w:p>
          <w:p>
            <w:pPr>
              <w:pStyle w:val="55"/>
              <w:topLinePunct/>
              <w:ind w:firstLine="482"/>
              <w:rPr>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Ex>
        <w:trPr>
          <w:trHeight w:val="397" w:hRule="atLeast"/>
          <w:jc w:val="center"/>
        </w:trPr>
        <w:tc>
          <w:tcPr>
            <w:tcW w:w="713" w:type="dxa"/>
            <w:vAlign w:val="center"/>
          </w:tcPr>
          <w:p>
            <w:pPr>
              <w:pStyle w:val="56"/>
              <w:topLinePunct/>
              <w:rPr>
                <w:color w:val="auto"/>
              </w:rPr>
            </w:pPr>
            <w:r>
              <w:rPr>
                <w:rFonts w:hint="eastAsia"/>
                <w:color w:val="auto"/>
              </w:rPr>
              <w:t>总</w:t>
            </w:r>
          </w:p>
          <w:p>
            <w:pPr>
              <w:pStyle w:val="56"/>
              <w:topLinePunct/>
              <w:rPr>
                <w:color w:val="auto"/>
              </w:rPr>
            </w:pPr>
            <w:r>
              <w:rPr>
                <w:rFonts w:hint="eastAsia"/>
                <w:color w:val="auto"/>
              </w:rPr>
              <w:t>量</w:t>
            </w:r>
          </w:p>
          <w:p>
            <w:pPr>
              <w:pStyle w:val="56"/>
              <w:topLinePunct/>
              <w:rPr>
                <w:color w:val="auto"/>
              </w:rPr>
            </w:pPr>
            <w:r>
              <w:rPr>
                <w:rFonts w:hint="eastAsia"/>
                <w:color w:val="auto"/>
              </w:rPr>
              <w:t>控</w:t>
            </w:r>
          </w:p>
          <w:p>
            <w:pPr>
              <w:pStyle w:val="56"/>
              <w:topLinePunct/>
              <w:rPr>
                <w:color w:val="auto"/>
              </w:rPr>
            </w:pPr>
            <w:r>
              <w:rPr>
                <w:rFonts w:hint="eastAsia"/>
                <w:color w:val="auto"/>
              </w:rPr>
              <w:t>制</w:t>
            </w:r>
          </w:p>
          <w:p>
            <w:pPr>
              <w:pStyle w:val="56"/>
              <w:topLinePunct/>
              <w:rPr>
                <w:color w:val="auto"/>
              </w:rPr>
            </w:pPr>
            <w:r>
              <w:rPr>
                <w:rFonts w:hint="eastAsia"/>
                <w:color w:val="auto"/>
              </w:rPr>
              <w:t>指</w:t>
            </w:r>
          </w:p>
          <w:p>
            <w:pPr>
              <w:pStyle w:val="56"/>
              <w:topLinePunct/>
              <w:rPr>
                <w:rFonts w:cs="Times New Roman"/>
                <w:color w:val="auto"/>
                <w:szCs w:val="24"/>
              </w:rPr>
            </w:pPr>
            <w:r>
              <w:rPr>
                <w:rFonts w:hint="eastAsia"/>
                <w:color w:val="auto"/>
              </w:rPr>
              <w:t>标</w:t>
            </w:r>
          </w:p>
        </w:tc>
        <w:tc>
          <w:tcPr>
            <w:tcW w:w="7985" w:type="dxa"/>
            <w:vAlign w:val="center"/>
          </w:tcPr>
          <w:p>
            <w:pPr>
              <w:ind w:firstLine="480"/>
              <w:rPr>
                <w:color w:val="auto"/>
              </w:rPr>
            </w:pPr>
          </w:p>
          <w:p>
            <w:pPr>
              <w:ind w:firstLine="480"/>
              <w:rPr>
                <w:color w:val="auto"/>
              </w:rPr>
            </w:pPr>
          </w:p>
          <w:p>
            <w:pPr>
              <w:ind w:firstLine="480"/>
              <w:rPr>
                <w:color w:val="auto"/>
              </w:rPr>
            </w:pPr>
          </w:p>
          <w:p>
            <w:pPr>
              <w:ind w:firstLine="480"/>
              <w:rPr>
                <w:color w:val="auto"/>
              </w:rPr>
            </w:pPr>
            <w:r>
              <w:rPr>
                <w:color w:val="auto"/>
              </w:rPr>
              <w:t>本工程</w:t>
            </w:r>
            <w:r>
              <w:rPr>
                <w:rFonts w:hint="eastAsia"/>
                <w:color w:val="auto"/>
              </w:rPr>
              <w:t>属于非污染生态类工程，</w:t>
            </w:r>
            <w:r>
              <w:rPr>
                <w:color w:val="auto"/>
              </w:rPr>
              <w:t>项目投产运行后</w:t>
            </w:r>
            <w:r>
              <w:rPr>
                <w:rFonts w:hint="eastAsia"/>
                <w:color w:val="auto"/>
              </w:rPr>
              <w:t>无废气产生，生活污水</w:t>
            </w:r>
            <w:r>
              <w:rPr>
                <w:color w:val="auto"/>
              </w:rPr>
              <w:t>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color w:val="auto"/>
              </w:rPr>
              <w:t>处理</w:t>
            </w:r>
            <w:r>
              <w:rPr>
                <w:rFonts w:hint="eastAsia"/>
                <w:color w:val="auto"/>
              </w:rPr>
              <w:t>达到《</w:t>
            </w:r>
            <w:r>
              <w:rPr>
                <w:color w:val="auto"/>
              </w:rPr>
              <w:t>农田灌溉水质标准》（GB5084-2005）旱作标准后回用于</w:t>
            </w:r>
            <w:r>
              <w:rPr>
                <w:rFonts w:hint="eastAsia"/>
                <w:color w:val="auto"/>
              </w:rPr>
              <w:t>周边林地灌溉，不外排，因此无需申请污染物总量控制指标。</w:t>
            </w:r>
          </w:p>
          <w:p>
            <w:pPr>
              <w:ind w:firstLine="480"/>
              <w:rPr>
                <w:color w:val="auto"/>
              </w:rPr>
            </w:pPr>
          </w:p>
          <w:p>
            <w:pPr>
              <w:ind w:firstLine="480"/>
              <w:rPr>
                <w:color w:val="auto"/>
              </w:rPr>
            </w:pPr>
          </w:p>
          <w:p>
            <w:pPr>
              <w:ind w:firstLine="480"/>
              <w:rPr>
                <w:color w:val="auto"/>
              </w:rPr>
            </w:pPr>
          </w:p>
          <w:p>
            <w:pPr>
              <w:ind w:firstLine="480"/>
              <w:rPr>
                <w:color w:val="auto"/>
              </w:rPr>
            </w:pPr>
          </w:p>
        </w:tc>
      </w:tr>
    </w:tbl>
    <w:p>
      <w:pPr>
        <w:pStyle w:val="57"/>
        <w:rPr>
          <w:color w:val="auto"/>
          <w:sz w:val="28"/>
          <w:szCs w:val="32"/>
        </w:rPr>
      </w:pPr>
      <w:r>
        <w:rPr>
          <w:color w:val="auto"/>
        </w:rPr>
        <w:br w:type="page"/>
      </w:r>
    </w:p>
    <w:p>
      <w:pPr>
        <w:pStyle w:val="36"/>
        <w:topLinePunct/>
        <w:rPr>
          <w:color w:val="auto"/>
        </w:rPr>
      </w:pPr>
      <w:r>
        <w:rPr>
          <w:color w:val="auto"/>
        </w:rPr>
        <w:t>建设本工程分析</w:t>
      </w:r>
    </w:p>
    <w:tbl>
      <w:tblPr>
        <w:tblStyle w:val="39"/>
        <w:tblW w:w="8697"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0" w:type="dxa"/>
          <w:bottom w:w="0" w:type="dxa"/>
          <w:right w:w="0" w:type="dxa"/>
        </w:tblCellMar>
      </w:tblPr>
      <w:tblGrid>
        <w:gridCol w:w="8697"/>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0" w:type="dxa"/>
            <w:bottom w:w="0" w:type="dxa"/>
            <w:right w:w="0" w:type="dxa"/>
          </w:tblCellMar>
        </w:tblPrEx>
        <w:trPr>
          <w:trHeight w:val="397" w:hRule="atLeast"/>
          <w:jc w:val="center"/>
        </w:trPr>
        <w:tc>
          <w:tcPr>
            <w:tcW w:w="8697" w:type="dxa"/>
            <w:tcBorders>
              <w:tl2br w:val="nil"/>
              <w:tr2bl w:val="nil"/>
            </w:tcBorders>
          </w:tcPr>
          <w:p>
            <w:pPr>
              <w:pStyle w:val="54"/>
              <w:topLinePunct/>
              <w:rPr>
                <w:color w:val="auto"/>
              </w:rPr>
            </w:pPr>
            <w:r>
              <w:rPr>
                <w:color w:val="auto"/>
              </w:rPr>
              <w:t>工艺流程简述（图示）：</w:t>
            </w:r>
          </w:p>
          <w:p>
            <w:pPr>
              <w:pStyle w:val="55"/>
              <w:topLinePunct/>
              <w:ind w:firstLine="482"/>
              <w:rPr>
                <w:color w:val="auto"/>
              </w:rPr>
            </w:pPr>
            <w:r>
              <w:rPr>
                <w:rFonts w:hint="eastAsia"/>
                <w:color w:val="auto"/>
              </w:rPr>
              <w:t>一、</w:t>
            </w:r>
            <w:r>
              <w:rPr>
                <w:color w:val="auto"/>
              </w:rPr>
              <w:t>施工期：</w:t>
            </w:r>
          </w:p>
          <w:p>
            <w:pPr>
              <w:ind w:firstLine="480"/>
              <w:rPr>
                <w:color w:val="auto"/>
              </w:rPr>
            </w:pPr>
            <w:r>
              <w:rPr>
                <w:rFonts w:hint="eastAsia"/>
                <w:color w:val="auto"/>
              </w:rPr>
              <w:t>本工程的施工主要是水厂的土建施工，施工期的工艺流程及产污环节见图2。</w:t>
            </w:r>
          </w:p>
          <w:p>
            <w:pPr>
              <w:pStyle w:val="57"/>
              <w:rPr>
                <w:color w:val="auto"/>
              </w:rPr>
            </w:pPr>
            <w:r>
              <w:rPr>
                <w:color w:val="auto"/>
              </w:rPr>
              <w:pict>
                <v:shape id="_x0000_i1025" o:spt="75" type="#_x0000_t75" style="height:100.45pt;width:341.6pt;" filled="f" o:preferrelative="t" stroked="f" coordsize="21600,21600">
                  <v:path/>
                  <v:fill on="f" focussize="0,0"/>
                  <v:stroke on="f" joinstyle="miter"/>
                  <v:imagedata r:id="rId10" o:title=""/>
                  <o:lock v:ext="edit" aspectratio="t"/>
                  <w10:wrap type="none"/>
                  <w10:anchorlock/>
                </v:shape>
              </w:pict>
            </w:r>
          </w:p>
          <w:p>
            <w:pPr>
              <w:jc w:val="center"/>
              <w:rPr>
                <w:rFonts w:hint="eastAsia" w:eastAsia="宋体"/>
                <w:b/>
                <w:bCs/>
                <w:color w:val="auto"/>
                <w:lang w:eastAsia="zh-CN"/>
              </w:rPr>
            </w:pPr>
            <w:r>
              <w:rPr>
                <w:rFonts w:hint="eastAsia"/>
                <w:b/>
                <w:bCs/>
                <w:color w:val="auto"/>
                <w:lang w:eastAsia="zh-CN"/>
              </w:rPr>
              <w:t>图</w:t>
            </w:r>
            <w:r>
              <w:rPr>
                <w:rFonts w:hint="eastAsia"/>
                <w:b/>
                <w:bCs/>
                <w:color w:val="auto"/>
                <w:lang w:val="en-US" w:eastAsia="zh-CN"/>
              </w:rPr>
              <w:t xml:space="preserve">1 </w:t>
            </w:r>
            <w:r>
              <w:rPr>
                <w:rFonts w:hint="eastAsia"/>
                <w:b/>
                <w:bCs/>
                <w:color w:val="auto"/>
                <w:lang w:eastAsia="zh-CN"/>
              </w:rPr>
              <w:t>施工期新建水厂工艺流程图</w:t>
            </w:r>
          </w:p>
          <w:p>
            <w:pPr>
              <w:jc w:val="center"/>
              <w:rPr>
                <w:rFonts w:hint="eastAsia"/>
                <w:color w:val="auto"/>
              </w:rPr>
            </w:pPr>
            <w:r>
              <w:rPr>
                <w:color w:val="auto"/>
              </w:rPr>
              <w:object>
                <v:shape id="_x0000_i1026" o:spt="75" type="#_x0000_t75" style="height:66.1pt;width:230.6pt;" o:ole="t" filled="f" o:preferrelative="t" stroked="f" coordsize="21600,21600">
                  <v:path/>
                  <v:fill on="f" focussize="0,0"/>
                  <v:stroke on="f"/>
                  <v:imagedata r:id="rId12" o:title=""/>
                  <o:lock v:ext="edit" aspectratio="f"/>
                  <w10:wrap type="none"/>
                  <w10:anchorlock/>
                </v:shape>
                <o:OLEObject Type="Embed" ProgID="Visio.Drawing.15" ShapeID="_x0000_i1026" DrawAspect="Content" ObjectID="_1468075725" r:id="rId11">
                  <o:LockedField>false</o:LockedField>
                </o:OLEObject>
              </w:object>
            </w:r>
          </w:p>
          <w:p>
            <w:pPr>
              <w:pStyle w:val="56"/>
              <w:rPr>
                <w:rFonts w:hint="eastAsia"/>
                <w:color w:val="auto"/>
              </w:rPr>
            </w:pPr>
            <w:r>
              <w:rPr>
                <w:rFonts w:hint="eastAsia"/>
                <w:color w:val="auto"/>
              </w:rPr>
              <w:t>图</w:t>
            </w:r>
            <w:r>
              <w:rPr>
                <w:rFonts w:hint="eastAsia"/>
                <w:color w:val="auto"/>
                <w:lang w:val="en-US" w:eastAsia="zh-CN"/>
              </w:rPr>
              <w:t>2</w:t>
            </w:r>
            <w:r>
              <w:rPr>
                <w:rFonts w:hint="eastAsia"/>
                <w:color w:val="auto"/>
              </w:rPr>
              <w:t xml:space="preserve">  施工期</w:t>
            </w:r>
            <w:r>
              <w:rPr>
                <w:rFonts w:hint="eastAsia"/>
                <w:color w:val="auto"/>
                <w:lang w:eastAsia="zh-CN"/>
              </w:rPr>
              <w:t>新建隧道</w:t>
            </w:r>
            <w:r>
              <w:rPr>
                <w:rFonts w:hint="eastAsia"/>
                <w:color w:val="auto"/>
              </w:rPr>
              <w:t>工艺流程图</w:t>
            </w:r>
          </w:p>
          <w:p>
            <w:pPr>
              <w:jc w:val="center"/>
              <w:rPr>
                <w:color w:val="auto"/>
              </w:rPr>
            </w:pPr>
            <w:r>
              <w:rPr>
                <w:color w:val="auto"/>
              </w:rPr>
              <w:object>
                <v:shape id="_x0000_i1027" o:spt="75" type="#_x0000_t75" style="height:38.25pt;width:348.75pt;" o:ole="t" filled="f" o:preferrelative="t" stroked="f" coordsize="21600,21600">
                  <v:path/>
                  <v:fill on="f" focussize="0,0"/>
                  <v:stroke on="f"/>
                  <v:imagedata r:id="rId14" o:title=""/>
                  <o:lock v:ext="edit" aspectratio="f"/>
                  <w10:wrap type="none"/>
                  <w10:anchorlock/>
                </v:shape>
                <o:OLEObject Type="Embed" ProgID="Visio.Drawing.15" ShapeID="_x0000_i1027" DrawAspect="Content" ObjectID="_1468075726" r:id="rId13">
                  <o:LockedField>false</o:LockedField>
                </o:OLEObject>
              </w:object>
            </w:r>
          </w:p>
          <w:p>
            <w:pPr>
              <w:jc w:val="center"/>
              <w:rPr>
                <w:rFonts w:hint="default" w:eastAsia="宋体"/>
                <w:b/>
                <w:bCs/>
                <w:color w:val="auto"/>
                <w:lang w:val="en-US" w:eastAsia="zh-CN"/>
              </w:rPr>
            </w:pPr>
            <w:r>
              <w:rPr>
                <w:rFonts w:hint="eastAsia"/>
                <w:b/>
                <w:bCs/>
                <w:color w:val="auto"/>
                <w:lang w:eastAsia="zh-CN"/>
              </w:rPr>
              <w:t>图</w:t>
            </w:r>
            <w:r>
              <w:rPr>
                <w:rFonts w:hint="eastAsia"/>
                <w:b/>
                <w:bCs/>
                <w:color w:val="auto"/>
                <w:lang w:val="en-US" w:eastAsia="zh-CN"/>
              </w:rPr>
              <w:t>3  施工期八一水库防渗补漏工艺流程图</w:t>
            </w:r>
          </w:p>
          <w:p>
            <w:pPr>
              <w:ind w:firstLine="480"/>
              <w:rPr>
                <w:color w:val="auto"/>
              </w:rPr>
            </w:pPr>
            <w:r>
              <w:rPr>
                <w:color w:val="auto"/>
              </w:rPr>
              <w:t>施工期主要产污环节为：</w:t>
            </w:r>
          </w:p>
          <w:p>
            <w:pPr>
              <w:ind w:firstLine="480"/>
              <w:rPr>
                <w:color w:val="auto"/>
              </w:rPr>
            </w:pPr>
            <w:r>
              <w:rPr>
                <w:color w:val="auto"/>
              </w:rPr>
              <w:t>废水：主要为施工废水；</w:t>
            </w:r>
          </w:p>
          <w:p>
            <w:pPr>
              <w:ind w:firstLine="480"/>
              <w:rPr>
                <w:color w:val="auto"/>
              </w:rPr>
            </w:pPr>
            <w:r>
              <w:rPr>
                <w:color w:val="auto"/>
              </w:rPr>
              <w:t>废气：主要为扬尘及施工尾气；</w:t>
            </w:r>
          </w:p>
          <w:p>
            <w:pPr>
              <w:ind w:firstLine="480"/>
              <w:rPr>
                <w:color w:val="auto"/>
              </w:rPr>
            </w:pPr>
            <w:r>
              <w:rPr>
                <w:color w:val="auto"/>
              </w:rPr>
              <w:t>噪声：各施工机械产生的噪声</w:t>
            </w:r>
            <w:r>
              <w:rPr>
                <w:color w:val="auto"/>
                <w:kern w:val="0"/>
              </w:rPr>
              <w:t>；</w:t>
            </w:r>
          </w:p>
          <w:p>
            <w:pPr>
              <w:ind w:firstLine="480"/>
              <w:rPr>
                <w:color w:val="auto"/>
              </w:rPr>
            </w:pPr>
            <w:r>
              <w:rPr>
                <w:color w:val="auto"/>
              </w:rPr>
              <w:t>固废：主要为施工人员的生活垃圾及</w:t>
            </w:r>
            <w:r>
              <w:rPr>
                <w:rFonts w:hint="eastAsia"/>
                <w:color w:val="auto"/>
              </w:rPr>
              <w:t>弃土弃渣</w:t>
            </w:r>
            <w:r>
              <w:rPr>
                <w:color w:val="auto"/>
              </w:rPr>
              <w:t>。</w:t>
            </w:r>
          </w:p>
          <w:p>
            <w:pPr>
              <w:pStyle w:val="55"/>
              <w:topLinePunct/>
              <w:ind w:firstLine="482"/>
              <w:rPr>
                <w:color w:val="auto"/>
              </w:rPr>
            </w:pPr>
            <w:r>
              <w:rPr>
                <w:rFonts w:hint="eastAsia"/>
                <w:color w:val="auto"/>
              </w:rPr>
              <w:t>二、</w:t>
            </w:r>
            <w:r>
              <w:rPr>
                <w:color w:val="auto"/>
              </w:rPr>
              <w:t>运营期：</w:t>
            </w:r>
          </w:p>
          <w:p>
            <w:pPr>
              <w:ind w:firstLine="480"/>
              <w:rPr>
                <w:color w:val="auto"/>
              </w:rPr>
            </w:pPr>
            <w:r>
              <w:rPr>
                <w:rFonts w:hint="eastAsia"/>
                <w:color w:val="auto"/>
              </w:rPr>
              <w:t>本工程运营期工艺流程见下图。</w:t>
            </w:r>
          </w:p>
          <w:p>
            <w:pPr>
              <w:pStyle w:val="57"/>
              <w:rPr>
                <w:rFonts w:cs="Times New Roman"/>
                <w:b/>
                <w:color w:val="auto"/>
              </w:rPr>
            </w:pPr>
            <w:r>
              <w:rPr>
                <w:color w:val="auto"/>
              </w:rPr>
              <w:object>
                <v:shape id="_x0000_i1028" o:spt="75" type="#_x0000_t75" style="height:96pt;width:292.5pt;" o:ole="t" filled="f" o:preferrelative="t" stroked="f" coordsize="21600,21600">
                  <v:path/>
                  <v:fill on="f" focussize="0,0"/>
                  <v:stroke on="f"/>
                  <v:imagedata r:id="rId16" o:title=""/>
                  <o:lock v:ext="edit" aspectratio="f"/>
                  <w10:wrap type="none"/>
                  <w10:anchorlock/>
                </v:shape>
                <o:OLEObject Type="Embed" ProgID="Visio.Drawing.15" ShapeID="_x0000_i1028" DrawAspect="Content" ObjectID="_1468075727" r:id="rId15">
                  <o:LockedField>false</o:LockedField>
                </o:OLEObject>
              </w:object>
            </w:r>
          </w:p>
          <w:p>
            <w:pPr>
              <w:pStyle w:val="56"/>
              <w:rPr>
                <w:color w:val="auto"/>
              </w:rPr>
            </w:pPr>
            <w:r>
              <w:rPr>
                <w:rFonts w:hint="eastAsia"/>
                <w:color w:val="auto"/>
              </w:rPr>
              <w:t>图2  运营期工艺流程图</w:t>
            </w:r>
          </w:p>
          <w:p>
            <w:pPr>
              <w:ind w:firstLine="480"/>
              <w:rPr>
                <w:color w:val="auto"/>
              </w:rPr>
            </w:pPr>
            <w:r>
              <w:rPr>
                <w:rFonts w:hint="eastAsia"/>
                <w:color w:val="auto"/>
              </w:rPr>
              <w:t>工艺流程说明：</w:t>
            </w:r>
          </w:p>
          <w:p>
            <w:pPr>
              <w:ind w:firstLine="480"/>
              <w:rPr>
                <w:rFonts w:hint="eastAsia" w:eastAsia="宋体"/>
                <w:color w:val="auto"/>
                <w:lang w:eastAsia="zh-CN"/>
              </w:rPr>
            </w:pPr>
            <w:r>
              <w:rPr>
                <w:rFonts w:hint="eastAsia"/>
                <w:color w:val="auto"/>
              </w:rPr>
              <w:t>在八一水库</w:t>
            </w:r>
            <w:r>
              <w:rPr>
                <w:rFonts w:hint="eastAsia"/>
                <w:color w:val="auto"/>
                <w:lang w:eastAsia="zh-CN"/>
              </w:rPr>
              <w:t>外新建一座</w:t>
            </w:r>
            <w:r>
              <w:rPr>
                <w:rFonts w:hint="eastAsia"/>
                <w:color w:val="auto"/>
              </w:rPr>
              <w:t>隧洞</w:t>
            </w:r>
            <w:r>
              <w:rPr>
                <w:rFonts w:hint="eastAsia"/>
                <w:color w:val="auto"/>
                <w:lang w:eastAsia="zh-CN"/>
              </w:rPr>
              <w:t>，原水经重力作用从隧洞流出后进入</w:t>
            </w:r>
            <w:r>
              <w:rPr>
                <w:rFonts w:hint="eastAsia"/>
                <w:color w:val="auto"/>
              </w:rPr>
              <w:t>输水管</w:t>
            </w:r>
            <w:r>
              <w:rPr>
                <w:rFonts w:hint="eastAsia"/>
                <w:color w:val="auto"/>
                <w:lang w:eastAsia="zh-CN"/>
              </w:rPr>
              <w:t>，进而流</w:t>
            </w:r>
            <w:r>
              <w:rPr>
                <w:rFonts w:hint="eastAsia"/>
                <w:color w:val="auto"/>
              </w:rPr>
              <w:t>入</w:t>
            </w:r>
            <w:r>
              <w:rPr>
                <w:rFonts w:hint="eastAsia"/>
                <w:color w:val="auto"/>
                <w:lang w:eastAsia="zh-CN"/>
              </w:rPr>
              <w:t>管理房内的净水处理设施</w:t>
            </w:r>
            <w:r>
              <w:rPr>
                <w:rFonts w:hint="eastAsia"/>
                <w:color w:val="auto"/>
              </w:rPr>
              <w:t>，</w:t>
            </w:r>
            <w:r>
              <w:rPr>
                <w:rFonts w:hint="eastAsia"/>
                <w:color w:val="auto"/>
                <w:lang w:eastAsia="zh-CN"/>
              </w:rPr>
              <w:t>先进入净化过滤池，</w:t>
            </w:r>
            <w:r>
              <w:rPr>
                <w:rFonts w:hint="eastAsia"/>
                <w:color w:val="auto"/>
              </w:rPr>
              <w:t>原水在絮凝净化过滤池中经过反应、絮凝、沉淀、过滤。过滤后，滤后水进入清水池。</w:t>
            </w:r>
            <w:r>
              <w:rPr>
                <w:rFonts w:hint="eastAsia"/>
                <w:color w:val="auto"/>
                <w:lang w:eastAsia="zh-CN"/>
              </w:rPr>
              <w:t>原水</w:t>
            </w:r>
            <w:r>
              <w:rPr>
                <w:rFonts w:hint="eastAsia"/>
                <w:color w:val="auto"/>
              </w:rPr>
              <w:t>在滤后水进入清水池的管道上，投加</w:t>
            </w:r>
            <w:r>
              <w:rPr>
                <w:rFonts w:hint="eastAsia"/>
                <w:color w:val="auto"/>
                <w:lang w:eastAsia="zh-CN"/>
              </w:rPr>
              <w:t>次氯酸钠</w:t>
            </w:r>
            <w:r>
              <w:rPr>
                <w:rFonts w:hint="eastAsia"/>
                <w:color w:val="auto"/>
              </w:rPr>
              <w:t>消毒，清水池出水后送入供水管网中</w:t>
            </w:r>
            <w:r>
              <w:rPr>
                <w:rFonts w:hint="eastAsia"/>
                <w:color w:val="auto"/>
                <w:lang w:eastAsia="zh-CN"/>
              </w:rPr>
              <w:t>。</w:t>
            </w:r>
          </w:p>
          <w:p>
            <w:pPr>
              <w:ind w:firstLine="480"/>
              <w:rPr>
                <w:color w:val="auto"/>
                <w:szCs w:val="24"/>
              </w:rPr>
            </w:pPr>
            <w:r>
              <w:rPr>
                <w:rFonts w:hint="eastAsia"/>
                <w:color w:val="auto"/>
                <w:szCs w:val="24"/>
              </w:rPr>
              <w:t>运营期主要产污环节为：</w:t>
            </w:r>
          </w:p>
          <w:p>
            <w:pPr>
              <w:ind w:firstLine="480"/>
              <w:rPr>
                <w:color w:val="auto"/>
                <w:szCs w:val="24"/>
              </w:rPr>
            </w:pPr>
            <w:r>
              <w:rPr>
                <w:rFonts w:hint="eastAsia"/>
                <w:color w:val="auto"/>
                <w:szCs w:val="24"/>
              </w:rPr>
              <w:t>废水：项目废水主要为员工生活污水；</w:t>
            </w:r>
          </w:p>
          <w:p>
            <w:pPr>
              <w:ind w:firstLine="480"/>
              <w:rPr>
                <w:color w:val="auto"/>
                <w:szCs w:val="24"/>
              </w:rPr>
            </w:pPr>
            <w:r>
              <w:rPr>
                <w:rFonts w:hint="eastAsia"/>
                <w:color w:val="auto"/>
                <w:szCs w:val="24"/>
              </w:rPr>
              <w:t>废气：项目废气主要为柴油发电机废气和食堂油烟；</w:t>
            </w:r>
          </w:p>
          <w:p>
            <w:pPr>
              <w:ind w:firstLine="480"/>
              <w:rPr>
                <w:color w:val="auto"/>
                <w:szCs w:val="24"/>
              </w:rPr>
            </w:pPr>
            <w:r>
              <w:rPr>
                <w:rFonts w:hint="eastAsia"/>
                <w:color w:val="auto"/>
                <w:szCs w:val="24"/>
              </w:rPr>
              <w:t>噪声：机器设备运转过程中产生的噪声；</w:t>
            </w:r>
          </w:p>
          <w:p>
            <w:pPr>
              <w:ind w:firstLine="480"/>
              <w:rPr>
                <w:color w:val="auto"/>
                <w:szCs w:val="24"/>
              </w:rPr>
            </w:pPr>
            <w:r>
              <w:rPr>
                <w:rFonts w:hint="eastAsia"/>
                <w:color w:val="auto"/>
                <w:szCs w:val="24"/>
              </w:rPr>
              <w:t>固废：固废来源主要为员工生活垃圾、废包装材料、</w:t>
            </w:r>
            <w:r>
              <w:rPr>
                <w:rFonts w:hint="eastAsia"/>
                <w:color w:val="auto"/>
              </w:rPr>
              <w:t>净化过滤池沉渣</w:t>
            </w:r>
            <w:r>
              <w:rPr>
                <w:rFonts w:hint="eastAsia"/>
                <w:color w:val="auto"/>
                <w:szCs w:val="24"/>
              </w:rPr>
              <w:t>。</w:t>
            </w:r>
          </w:p>
          <w:p>
            <w:pPr>
              <w:pStyle w:val="54"/>
              <w:rPr>
                <w:color w:val="auto"/>
              </w:rPr>
            </w:pPr>
            <w:r>
              <w:rPr>
                <w:color w:val="auto"/>
              </w:rPr>
              <w:t>主要污染工序：</w:t>
            </w:r>
          </w:p>
          <w:p>
            <w:pPr>
              <w:pStyle w:val="55"/>
              <w:ind w:firstLine="482"/>
              <w:rPr>
                <w:color w:val="auto"/>
              </w:rPr>
            </w:pPr>
            <w:r>
              <w:rPr>
                <w:color w:val="auto"/>
              </w:rPr>
              <w:t>一</w:t>
            </w:r>
            <w:r>
              <w:rPr>
                <w:rFonts w:hint="eastAsia"/>
                <w:color w:val="auto"/>
              </w:rPr>
              <w:t>、</w:t>
            </w:r>
            <w:r>
              <w:rPr>
                <w:color w:val="auto"/>
              </w:rPr>
              <w:t>施工期污染源</w:t>
            </w:r>
          </w:p>
          <w:p>
            <w:pPr>
              <w:ind w:firstLine="482"/>
              <w:rPr>
                <w:b/>
                <w:color w:val="auto"/>
              </w:rPr>
            </w:pPr>
            <w:r>
              <w:rPr>
                <w:rFonts w:hint="eastAsia"/>
                <w:b/>
                <w:color w:val="auto"/>
              </w:rPr>
              <w:t>1、大气污染源</w:t>
            </w:r>
          </w:p>
          <w:p>
            <w:pPr>
              <w:ind w:firstLine="480"/>
              <w:rPr>
                <w:rFonts w:ascii="宋体" w:hAnsi="宋体"/>
                <w:color w:val="auto"/>
              </w:rPr>
            </w:pPr>
            <w:r>
              <w:rPr>
                <w:rFonts w:hint="eastAsia"/>
                <w:color w:val="auto"/>
              </w:rPr>
              <w:t>本工程</w:t>
            </w:r>
            <w:r>
              <w:rPr>
                <w:rFonts w:hint="eastAsia" w:ascii="宋体" w:hAnsi="宋体"/>
                <w:color w:val="auto"/>
              </w:rPr>
              <w:t>施工阶段大气污染的产生源主要有：基础开挖、运输车辆和施工机械等产生扬尘；建筑材料的运输、装卸、储存和使用过程产生扬尘；各类施工机械和运输车辆所排放的废气等。</w:t>
            </w:r>
          </w:p>
          <w:p>
            <w:pPr>
              <w:ind w:firstLine="480"/>
              <w:rPr>
                <w:rFonts w:cs="Times New Roman"/>
                <w:color w:val="auto"/>
              </w:rPr>
            </w:pPr>
            <w:r>
              <w:rPr>
                <w:rFonts w:hint="eastAsia" w:cs="Times New Roman"/>
                <w:color w:val="auto"/>
              </w:rPr>
              <w:t>开挖时，若土壤含水率较低，空气湿度较小，日照强烈，则在施工过程因土壤被扰动而较易产生扬尘，其起尘量视施工场地情况不同而不同，一般来说距施工场地</w:t>
            </w:r>
            <w:r>
              <w:rPr>
                <w:rFonts w:cs="Times New Roman"/>
                <w:color w:val="auto"/>
              </w:rPr>
              <w:t>200m范围内贴地环境空气中TSP浓度可达5~20mg/m³，当施工区起风并且风速较大时，扬尘可以影响到距施工场地500m左右的范围；车辆运输土方过程中，若没有防护措施则会导致土方漏洒及出现风吹扬尘；漏洒在运输路线上的土覆盖路面，晒干后又因车辆的作用和风吹再次扬尘；粉状建筑材料运输、装卸、储存和使用过程也会产生扬尘。</w:t>
            </w:r>
          </w:p>
          <w:p>
            <w:pPr>
              <w:ind w:firstLine="480"/>
              <w:rPr>
                <w:rFonts w:cs="Times New Roman"/>
                <w:color w:val="auto"/>
              </w:rPr>
            </w:pPr>
            <w:r>
              <w:rPr>
                <w:rFonts w:hint="eastAsia" w:cs="Times New Roman"/>
                <w:color w:val="auto"/>
              </w:rPr>
              <w:t>施工过程用到的施工机械主要包括挖掘机、汽车式起重机、装载机等，它们以柴油为燃料，会产生一定量废气，包括</w:t>
            </w:r>
            <w:r>
              <w:rPr>
                <w:rFonts w:cs="Times New Roman"/>
                <w:color w:val="auto"/>
              </w:rPr>
              <w:t>CO、NO</w:t>
            </w:r>
            <w:r>
              <w:rPr>
                <w:rFonts w:cs="Times New Roman"/>
                <w:color w:val="auto"/>
                <w:vertAlign w:val="subscript"/>
              </w:rPr>
              <w:t>x</w:t>
            </w:r>
            <w:r>
              <w:rPr>
                <w:rFonts w:hint="eastAsia" w:cs="Times New Roman"/>
                <w:color w:val="auto"/>
              </w:rPr>
              <w:t>、</w:t>
            </w:r>
            <w:r>
              <w:rPr>
                <w:rFonts w:cs="Times New Roman"/>
                <w:color w:val="auto"/>
              </w:rPr>
              <w:t>SO</w:t>
            </w:r>
            <w:r>
              <w:rPr>
                <w:rFonts w:cs="Times New Roman"/>
                <w:color w:val="auto"/>
                <w:vertAlign w:val="subscript"/>
              </w:rPr>
              <w:t>2</w:t>
            </w:r>
            <w:r>
              <w:rPr>
                <w:rFonts w:hint="eastAsia" w:cs="Times New Roman"/>
                <w:color w:val="auto"/>
              </w:rPr>
              <w:t>等，但产生量不大，影响范围有限。</w:t>
            </w:r>
          </w:p>
          <w:p>
            <w:pPr>
              <w:ind w:firstLine="482"/>
              <w:rPr>
                <w:b/>
                <w:color w:val="auto"/>
              </w:rPr>
            </w:pPr>
            <w:r>
              <w:rPr>
                <w:rFonts w:hint="eastAsia"/>
                <w:b/>
                <w:color w:val="auto"/>
              </w:rPr>
              <w:t>2、水污染源</w:t>
            </w:r>
          </w:p>
          <w:p>
            <w:pPr>
              <w:spacing w:before="60" w:after="60"/>
              <w:ind w:firstLine="480"/>
              <w:jc w:val="left"/>
              <w:rPr>
                <w:color w:val="auto"/>
              </w:rPr>
            </w:pPr>
            <w:r>
              <w:rPr>
                <w:rFonts w:hint="eastAsia"/>
                <w:color w:val="auto"/>
              </w:rPr>
              <w:t>本工程施工期废水主要是施工废水及施工人员的生活污水。其中施工废水包括泥浆水、机械设备运转的冷却水、车辆和机械设备冲洗水等，生活污水为施工人员的清洁卫生用水等。</w:t>
            </w:r>
          </w:p>
          <w:p>
            <w:pPr>
              <w:spacing w:before="60" w:after="60"/>
              <w:ind w:firstLine="480"/>
              <w:jc w:val="left"/>
              <w:rPr>
                <w:color w:val="auto"/>
              </w:rPr>
            </w:pPr>
            <w:r>
              <w:rPr>
                <w:rFonts w:hint="eastAsia"/>
                <w:color w:val="auto"/>
              </w:rPr>
              <w:t>施工废水产生量约10t/d，主要污染物为SS、石油类。SS平均浓度约500mg/L、石油类约20mg/L。对施工废水设置隔油隔渣沉淀池，处理后废水用于施工区域的洒水降尘，不外排。</w:t>
            </w:r>
          </w:p>
          <w:p>
            <w:pPr>
              <w:ind w:firstLine="480"/>
              <w:rPr>
                <w:color w:val="auto"/>
              </w:rPr>
            </w:pPr>
            <w:r>
              <w:rPr>
                <w:rFonts w:hint="eastAsia"/>
                <w:color w:val="auto"/>
              </w:rPr>
              <w:t>施工期工人员约</w:t>
            </w:r>
            <w:r>
              <w:rPr>
                <w:rFonts w:hint="eastAsia"/>
                <w:color w:val="auto"/>
                <w:lang w:val="en-US" w:eastAsia="zh-CN"/>
              </w:rPr>
              <w:t>30</w:t>
            </w:r>
            <w:r>
              <w:rPr>
                <w:rFonts w:hint="eastAsia"/>
                <w:color w:val="auto"/>
              </w:rPr>
              <w:t>人，施工人员均为当地劳动力，就餐采用订餐外送制，现场不设施工人员生活营地，施工人员的日常如厕活动依托周边的卫生设施，项目施工期不对外排放生活污水。</w:t>
            </w:r>
          </w:p>
          <w:p>
            <w:pPr>
              <w:ind w:firstLine="482"/>
              <w:rPr>
                <w:b/>
                <w:color w:val="auto"/>
              </w:rPr>
            </w:pPr>
            <w:r>
              <w:rPr>
                <w:rFonts w:hint="eastAsia"/>
                <w:b/>
                <w:color w:val="auto"/>
              </w:rPr>
              <w:t>3、噪声污染源</w:t>
            </w:r>
          </w:p>
          <w:p>
            <w:pPr>
              <w:ind w:firstLine="480"/>
              <w:rPr>
                <w:color w:val="auto"/>
              </w:rPr>
            </w:pPr>
            <w:r>
              <w:rPr>
                <w:rFonts w:hint="eastAsia"/>
                <w:color w:val="auto"/>
              </w:rPr>
              <w:t>施工中因土方开挖、施工机械作业等均会产生噪声。不同施工阶段作业噪声限值由于施工机械数量、构成及施工等的随机性，导致了噪声的随机、无规律性，为无组织不连续排放。施工中常用机械的声级值最大为90dB（A），比如开挖机、推土机平地机等，噪声声级值为80-88dB（A）的机械为压路机、运输车辆等，对靠近工程范围的居民点的日常生活有一定的影响。</w:t>
            </w:r>
          </w:p>
          <w:p>
            <w:pPr>
              <w:ind w:firstLine="482"/>
              <w:rPr>
                <w:b/>
                <w:color w:val="auto"/>
                <w:highlight w:val="none"/>
              </w:rPr>
            </w:pPr>
            <w:r>
              <w:rPr>
                <w:rFonts w:hint="eastAsia"/>
                <w:b/>
                <w:color w:val="auto"/>
              </w:rPr>
              <w:t>4、固体废物污染源</w:t>
            </w:r>
          </w:p>
          <w:p>
            <w:pPr>
              <w:ind w:firstLine="480"/>
              <w:rPr>
                <w:color w:val="auto"/>
                <w:highlight w:val="none"/>
              </w:rPr>
            </w:pPr>
            <w:r>
              <w:rPr>
                <w:color w:val="auto"/>
                <w:highlight w:val="none"/>
              </w:rPr>
              <w:t>施工期主要产生的固体废物为施工过程产生的弃土及施工人员的生活垃圾。</w:t>
            </w:r>
          </w:p>
          <w:p>
            <w:pPr>
              <w:ind w:firstLine="480"/>
              <w:rPr>
                <w:color w:val="auto"/>
              </w:rPr>
            </w:pPr>
            <w:r>
              <w:rPr>
                <w:color w:val="auto"/>
                <w:highlight w:val="none"/>
              </w:rPr>
              <w:t>本工程主要是</w:t>
            </w:r>
            <w:r>
              <w:rPr>
                <w:rFonts w:hint="eastAsia"/>
                <w:color w:val="auto"/>
                <w:highlight w:val="none"/>
              </w:rPr>
              <w:t>基础开挖</w:t>
            </w:r>
            <w:r>
              <w:rPr>
                <w:rFonts w:hint="eastAsia"/>
                <w:color w:val="auto"/>
                <w:highlight w:val="none"/>
                <w:lang w:eastAsia="zh-CN"/>
              </w:rPr>
              <w:t>、修建隧洞</w:t>
            </w:r>
            <w:r>
              <w:rPr>
                <w:rFonts w:hint="eastAsia"/>
                <w:color w:val="auto"/>
                <w:highlight w:val="none"/>
              </w:rPr>
              <w:t>的过程中会产生一定量的土石方</w:t>
            </w:r>
            <w:r>
              <w:rPr>
                <w:color w:val="auto"/>
                <w:highlight w:val="none"/>
              </w:rPr>
              <w:t>，</w:t>
            </w:r>
            <w:r>
              <w:rPr>
                <w:rFonts w:hint="eastAsia"/>
                <w:color w:val="auto"/>
                <w:highlight w:val="none"/>
              </w:rPr>
              <w:t>根据业主提供资料，</w:t>
            </w:r>
            <w:r>
              <w:rPr>
                <w:rFonts w:hint="eastAsia"/>
                <w:color w:val="auto"/>
                <w:highlight w:val="none"/>
                <w:lang w:eastAsia="zh-CN"/>
              </w:rPr>
              <w:t>修建隧洞的过程产生的土石方开挖量约为</w:t>
            </w:r>
            <w:r>
              <w:rPr>
                <w:rFonts w:hint="eastAsia"/>
                <w:color w:val="auto"/>
                <w:highlight w:val="none"/>
                <w:lang w:val="en-US" w:eastAsia="zh-CN"/>
              </w:rPr>
              <w:t>7000m</w:t>
            </w:r>
            <w:r>
              <w:rPr>
                <w:rFonts w:hint="eastAsia"/>
                <w:color w:val="auto"/>
                <w:highlight w:val="none"/>
                <w:vertAlign w:val="superscript"/>
                <w:lang w:val="en-US" w:eastAsia="zh-CN"/>
              </w:rPr>
              <w:t>3</w:t>
            </w:r>
            <w:r>
              <w:rPr>
                <w:rFonts w:hint="eastAsia"/>
                <w:color w:val="auto"/>
                <w:highlight w:val="none"/>
                <w:lang w:eastAsia="zh-CN"/>
              </w:rPr>
              <w:t>，本项目</w:t>
            </w:r>
            <w:r>
              <w:rPr>
                <w:color w:val="auto"/>
                <w:highlight w:val="none"/>
              </w:rPr>
              <w:t>土石方开挖总量约</w:t>
            </w:r>
            <w:r>
              <w:rPr>
                <w:rFonts w:hint="eastAsia"/>
                <w:color w:val="auto"/>
                <w:highlight w:val="none"/>
                <w:lang w:eastAsia="zh-CN"/>
              </w:rPr>
              <w:t>1</w:t>
            </w:r>
            <w:r>
              <w:rPr>
                <w:rFonts w:hint="eastAsia"/>
                <w:color w:val="auto"/>
                <w:highlight w:val="none"/>
                <w:lang w:val="en-US" w:eastAsia="zh-CN"/>
              </w:rPr>
              <w:t>20</w:t>
            </w:r>
            <w:r>
              <w:rPr>
                <w:rFonts w:hint="eastAsia"/>
                <w:color w:val="auto"/>
                <w:highlight w:val="none"/>
              </w:rPr>
              <w:t>00</w:t>
            </w:r>
            <w:r>
              <w:rPr>
                <w:color w:val="auto"/>
                <w:highlight w:val="none"/>
              </w:rPr>
              <w:t>m³，土石方回填总量约</w:t>
            </w:r>
            <w:r>
              <w:rPr>
                <w:rFonts w:hint="eastAsia"/>
                <w:color w:val="auto"/>
                <w:highlight w:val="none"/>
                <w:lang w:eastAsia="zh-CN"/>
              </w:rPr>
              <w:t>1</w:t>
            </w:r>
            <w:r>
              <w:rPr>
                <w:rFonts w:hint="eastAsia"/>
                <w:color w:val="auto"/>
                <w:highlight w:val="none"/>
                <w:lang w:val="en-US" w:eastAsia="zh-CN"/>
              </w:rPr>
              <w:t>2</w:t>
            </w:r>
            <w:r>
              <w:rPr>
                <w:rFonts w:hint="eastAsia"/>
                <w:color w:val="auto"/>
                <w:highlight w:val="none"/>
              </w:rPr>
              <w:t>00</w:t>
            </w:r>
            <w:r>
              <w:rPr>
                <w:color w:val="auto"/>
                <w:highlight w:val="none"/>
              </w:rPr>
              <w:t>m³，废弃土石方约</w:t>
            </w:r>
            <w:r>
              <w:rPr>
                <w:rFonts w:hint="eastAsia"/>
                <w:color w:val="auto"/>
                <w:highlight w:val="none"/>
                <w:lang w:eastAsia="zh-CN"/>
              </w:rPr>
              <w:t>1</w:t>
            </w:r>
            <w:r>
              <w:rPr>
                <w:rFonts w:hint="eastAsia"/>
                <w:color w:val="auto"/>
                <w:highlight w:val="none"/>
                <w:lang w:val="en-US" w:eastAsia="zh-CN"/>
              </w:rPr>
              <w:t>08</w:t>
            </w:r>
            <w:r>
              <w:rPr>
                <w:rFonts w:hint="eastAsia"/>
                <w:color w:val="auto"/>
                <w:highlight w:val="none"/>
              </w:rPr>
              <w:t>00</w:t>
            </w:r>
            <w:r>
              <w:rPr>
                <w:color w:val="auto"/>
                <w:highlight w:val="none"/>
              </w:rPr>
              <w:t>m³</w:t>
            </w:r>
            <w:r>
              <w:rPr>
                <w:rFonts w:hint="eastAsia"/>
                <w:color w:val="auto"/>
                <w:highlight w:val="none"/>
                <w:lang w:eastAsia="zh-CN"/>
              </w:rPr>
              <w:t>，</w:t>
            </w:r>
            <w:r>
              <w:rPr>
                <w:rFonts w:hint="eastAsia"/>
                <w:color w:val="auto"/>
                <w:highlight w:val="none"/>
              </w:rPr>
              <w:t>根据工程需求，施工期间产生的土石方</w:t>
            </w:r>
            <w:r>
              <w:rPr>
                <w:rFonts w:hint="eastAsia"/>
                <w:color w:val="auto"/>
              </w:rPr>
              <w:t>临时暂存于施工占地范围内，</w:t>
            </w:r>
            <w:r>
              <w:rPr>
                <w:color w:val="auto"/>
              </w:rPr>
              <w:t>优先</w:t>
            </w:r>
            <w:r>
              <w:rPr>
                <w:rFonts w:hint="eastAsia"/>
                <w:color w:val="auto"/>
              </w:rPr>
              <w:t>用于回填</w:t>
            </w:r>
            <w:r>
              <w:rPr>
                <w:color w:val="auto"/>
              </w:rPr>
              <w:t>，</w:t>
            </w:r>
            <w:r>
              <w:rPr>
                <w:rFonts w:hint="eastAsia"/>
                <w:color w:val="auto"/>
              </w:rPr>
              <w:t>待平整场地后，多余的弃土弃渣统一将弃土运至城市市容卫生管理部门指定地点进行堆存。</w:t>
            </w:r>
          </w:p>
          <w:p>
            <w:pPr>
              <w:ind w:firstLine="480"/>
              <w:rPr>
                <w:rFonts w:hint="eastAsia"/>
                <w:color w:val="auto"/>
              </w:rPr>
            </w:pPr>
            <w:r>
              <w:rPr>
                <w:color w:val="auto"/>
              </w:rPr>
              <w:t>工程施工人员约</w:t>
            </w:r>
            <w:r>
              <w:rPr>
                <w:rFonts w:hint="eastAsia"/>
                <w:color w:val="auto"/>
                <w:lang w:val="en-US" w:eastAsia="zh-CN"/>
              </w:rPr>
              <w:t>3</w:t>
            </w:r>
            <w:r>
              <w:rPr>
                <w:color w:val="auto"/>
              </w:rPr>
              <w:t>0人，食宿均依托周边村镇，每人每天产生生活垃圾0.5kg/d，工程施工期间生活垃圾产生量约0.0</w:t>
            </w:r>
            <w:r>
              <w:rPr>
                <w:rFonts w:hint="eastAsia"/>
                <w:color w:val="auto"/>
                <w:lang w:val="en-US" w:eastAsia="zh-CN"/>
              </w:rPr>
              <w:t>1</w:t>
            </w:r>
            <w:r>
              <w:rPr>
                <w:color w:val="auto"/>
              </w:rPr>
              <w:t>5t/d。生活垃圾装袋收集后，由环卫定期清运处理，纳入城镇垃圾清运系统</w:t>
            </w:r>
            <w:r>
              <w:rPr>
                <w:rFonts w:hint="eastAsia"/>
                <w:color w:val="auto"/>
              </w:rPr>
              <w:t>。</w:t>
            </w:r>
          </w:p>
          <w:p>
            <w:pPr>
              <w:pStyle w:val="55"/>
              <w:ind w:firstLine="482"/>
              <w:rPr>
                <w:rFonts w:hint="eastAsia"/>
                <w:b w:val="0"/>
                <w:bCs/>
                <w:color w:val="auto"/>
              </w:rPr>
            </w:pPr>
            <w:r>
              <w:rPr>
                <w:rFonts w:hint="eastAsia"/>
                <w:b w:val="0"/>
                <w:bCs/>
                <w:color w:val="auto"/>
              </w:rPr>
              <w:t>本项目</w:t>
            </w:r>
            <w:r>
              <w:rPr>
                <w:rFonts w:hint="eastAsia"/>
                <w:b w:val="0"/>
                <w:bCs/>
                <w:color w:val="auto"/>
                <w:lang w:eastAsia="zh-CN"/>
              </w:rPr>
              <w:t>净水</w:t>
            </w:r>
            <w:r>
              <w:rPr>
                <w:rFonts w:hint="eastAsia"/>
                <w:b w:val="0"/>
                <w:bCs/>
                <w:color w:val="auto"/>
              </w:rPr>
              <w:t>设备的维修及保养定期委外维护，维护设备产生的机油由委托单位运走，项目内不产生废机油。</w:t>
            </w:r>
          </w:p>
          <w:p>
            <w:pPr>
              <w:pStyle w:val="55"/>
              <w:ind w:firstLine="482"/>
              <w:rPr>
                <w:color w:val="auto"/>
              </w:rPr>
            </w:pPr>
            <w:r>
              <w:rPr>
                <w:rFonts w:hint="eastAsia"/>
                <w:color w:val="auto"/>
              </w:rPr>
              <w:t>二、营运期污染源及源强分析</w:t>
            </w:r>
          </w:p>
          <w:p>
            <w:pPr>
              <w:ind w:firstLine="480"/>
              <w:rPr>
                <w:color w:val="auto"/>
              </w:rPr>
            </w:pPr>
            <w:r>
              <w:rPr>
                <w:color w:val="auto"/>
              </w:rPr>
              <w:t>1、废水污染源及源强分析</w:t>
            </w:r>
          </w:p>
          <w:p>
            <w:pPr>
              <w:ind w:firstLine="480"/>
              <w:rPr>
                <w:color w:val="auto"/>
                <w:szCs w:val="24"/>
                <w:highlight w:val="none"/>
              </w:rPr>
            </w:pPr>
            <w:r>
              <w:rPr>
                <w:rFonts w:hint="eastAsia"/>
                <w:color w:val="auto"/>
                <w:szCs w:val="24"/>
              </w:rPr>
              <w:t>本工程运营期只有生活污水。</w:t>
            </w:r>
          </w:p>
          <w:p>
            <w:pPr>
              <w:ind w:firstLine="480"/>
              <w:rPr>
                <w:color w:val="auto"/>
                <w:spacing w:val="-2"/>
              </w:rPr>
            </w:pPr>
            <w:r>
              <w:rPr>
                <w:rFonts w:hint="eastAsia"/>
                <w:color w:val="auto"/>
                <w:highlight w:val="none"/>
              </w:rPr>
              <w:t>由上文分析可知，</w:t>
            </w:r>
            <w:r>
              <w:rPr>
                <w:color w:val="auto"/>
                <w:spacing w:val="-2"/>
                <w:highlight w:val="none"/>
              </w:rPr>
              <w:t>生活污水排放量为</w:t>
            </w:r>
            <w:r>
              <w:rPr>
                <w:rFonts w:hint="eastAsia"/>
                <w:color w:val="auto"/>
                <w:spacing w:val="-2"/>
                <w:highlight w:val="none"/>
              </w:rPr>
              <w:t>0.</w:t>
            </w:r>
            <w:r>
              <w:rPr>
                <w:rFonts w:hint="eastAsia"/>
                <w:color w:val="auto"/>
                <w:spacing w:val="-2"/>
                <w:highlight w:val="none"/>
                <w:lang w:eastAsia="zh-CN"/>
              </w:rPr>
              <w:t>2</w:t>
            </w:r>
            <w:r>
              <w:rPr>
                <w:rFonts w:hint="eastAsia"/>
                <w:color w:val="auto"/>
                <w:spacing w:val="-2"/>
                <w:highlight w:val="none"/>
                <w:lang w:val="en-US" w:eastAsia="zh-CN"/>
              </w:rPr>
              <w:t>56</w:t>
            </w:r>
            <w:r>
              <w:rPr>
                <w:rFonts w:hint="eastAsia"/>
                <w:color w:val="auto"/>
                <w:spacing w:val="-2"/>
                <w:highlight w:val="none"/>
              </w:rPr>
              <w:t>m³/d（</w:t>
            </w:r>
            <w:r>
              <w:rPr>
                <w:rFonts w:hint="eastAsia"/>
                <w:color w:val="auto"/>
                <w:spacing w:val="-2"/>
                <w:highlight w:val="none"/>
                <w:lang w:eastAsia="zh-CN"/>
              </w:rPr>
              <w:t>9</w:t>
            </w:r>
            <w:r>
              <w:rPr>
                <w:rFonts w:hint="eastAsia"/>
                <w:color w:val="auto"/>
                <w:spacing w:val="-2"/>
                <w:highlight w:val="none"/>
                <w:lang w:val="en-US" w:eastAsia="zh-CN"/>
              </w:rPr>
              <w:t>3.44</w:t>
            </w:r>
            <w:r>
              <w:rPr>
                <w:rFonts w:hint="eastAsia"/>
                <w:color w:val="auto"/>
                <w:spacing w:val="-2"/>
                <w:highlight w:val="none"/>
              </w:rPr>
              <w:t>m³/a）</w:t>
            </w:r>
            <w:r>
              <w:rPr>
                <w:color w:val="auto"/>
                <w:spacing w:val="-2"/>
              </w:rPr>
              <w:t>。</w:t>
            </w:r>
            <w:r>
              <w:rPr>
                <w:color w:val="auto"/>
                <w:szCs w:val="24"/>
              </w:rPr>
              <w:t>其中污染物质主要有COD、BOD</w:t>
            </w:r>
            <w:r>
              <w:rPr>
                <w:color w:val="auto"/>
                <w:szCs w:val="24"/>
                <w:vertAlign w:val="subscript"/>
              </w:rPr>
              <w:t>5</w:t>
            </w:r>
            <w:r>
              <w:rPr>
                <w:color w:val="auto"/>
                <w:szCs w:val="24"/>
              </w:rPr>
              <w:t>、SS、NH</w:t>
            </w:r>
            <w:r>
              <w:rPr>
                <w:color w:val="auto"/>
                <w:szCs w:val="24"/>
                <w:vertAlign w:val="subscript"/>
              </w:rPr>
              <w:t>3</w:t>
            </w:r>
            <w:r>
              <w:rPr>
                <w:color w:val="auto"/>
                <w:szCs w:val="24"/>
              </w:rPr>
              <w:t>-N等</w:t>
            </w:r>
            <w:r>
              <w:rPr>
                <w:rFonts w:hint="eastAsia"/>
                <w:color w:val="auto"/>
              </w:rPr>
              <w:t>，</w:t>
            </w:r>
            <w:r>
              <w:rPr>
                <w:color w:val="auto"/>
              </w:rPr>
              <w:t>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color w:val="auto"/>
              </w:rPr>
              <w:t>处理</w:t>
            </w:r>
            <w:r>
              <w:rPr>
                <w:rFonts w:hint="eastAsia"/>
                <w:color w:val="auto"/>
              </w:rPr>
              <w:t>达到《</w:t>
            </w:r>
            <w:r>
              <w:rPr>
                <w:color w:val="auto"/>
              </w:rPr>
              <w:t>农田灌溉水质标准》（GB5084-2005）旱作标准后回用于</w:t>
            </w:r>
            <w:r>
              <w:rPr>
                <w:rFonts w:hint="eastAsia"/>
                <w:color w:val="auto"/>
              </w:rPr>
              <w:t>周边林地灌溉，不外排</w:t>
            </w:r>
            <w:r>
              <w:rPr>
                <w:color w:val="auto"/>
              </w:rPr>
              <w:t>。</w:t>
            </w:r>
          </w:p>
          <w:p>
            <w:pPr>
              <w:pStyle w:val="56"/>
              <w:rPr>
                <w:color w:val="auto"/>
              </w:rPr>
            </w:pPr>
            <w:r>
              <w:rPr>
                <w:color w:val="auto"/>
              </w:rPr>
              <w:t>表</w:t>
            </w:r>
            <w:r>
              <w:rPr>
                <w:rFonts w:hint="eastAsia"/>
                <w:color w:val="auto"/>
                <w:lang w:val="en-US" w:eastAsia="zh-CN"/>
              </w:rPr>
              <w:t>5-1</w:t>
            </w:r>
            <w:r>
              <w:rPr>
                <w:color w:val="auto"/>
              </w:rPr>
              <w:t xml:space="preserve">  项目生活污水水质及水量情况</w:t>
            </w:r>
          </w:p>
          <w:tbl>
            <w:tblPr>
              <w:tblStyle w:val="39"/>
              <w:tblW w:w="8491"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135"/>
              <w:gridCol w:w="992"/>
              <w:gridCol w:w="993"/>
              <w:gridCol w:w="1259"/>
              <w:gridCol w:w="1004"/>
              <w:gridCol w:w="1004"/>
              <w:gridCol w:w="100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rPr>
                      <w:color w:val="auto"/>
                    </w:rPr>
                  </w:pPr>
                  <w:r>
                    <w:rPr>
                      <w:rFonts w:hint="eastAsia"/>
                      <w:color w:val="auto"/>
                    </w:rPr>
                    <w:t>主要</w:t>
                  </w:r>
                  <w:r>
                    <w:rPr>
                      <w:color w:val="auto"/>
                    </w:rPr>
                    <w:t>指标</w:t>
                  </w:r>
                </w:p>
              </w:tc>
              <w:tc>
                <w:tcPr>
                  <w:tcW w:w="1135" w:type="dxa"/>
                  <w:tcBorders>
                    <w:left w:val="single" w:color="auto" w:sz="4" w:space="0"/>
                    <w:right w:val="single" w:color="auto" w:sz="4" w:space="0"/>
                  </w:tcBorders>
                  <w:vAlign w:val="center"/>
                </w:tcPr>
                <w:p>
                  <w:pPr>
                    <w:pStyle w:val="57"/>
                    <w:rPr>
                      <w:color w:val="auto"/>
                    </w:rPr>
                  </w:pPr>
                  <w:r>
                    <w:rPr>
                      <w:color w:val="auto"/>
                    </w:rPr>
                    <w:t>产生浓度</w:t>
                  </w:r>
                </w:p>
                <w:p>
                  <w:pPr>
                    <w:pStyle w:val="57"/>
                    <w:rPr>
                      <w:color w:val="auto"/>
                    </w:rPr>
                  </w:pPr>
                  <w:r>
                    <w:rPr>
                      <w:color w:val="auto"/>
                    </w:rPr>
                    <w:t>（mg/L）</w:t>
                  </w:r>
                </w:p>
              </w:tc>
              <w:tc>
                <w:tcPr>
                  <w:tcW w:w="992" w:type="dxa"/>
                  <w:tcBorders>
                    <w:left w:val="single" w:color="auto" w:sz="4" w:space="0"/>
                    <w:right w:val="single" w:color="auto" w:sz="4" w:space="0"/>
                  </w:tcBorders>
                  <w:vAlign w:val="center"/>
                </w:tcPr>
                <w:p>
                  <w:pPr>
                    <w:pStyle w:val="57"/>
                    <w:rPr>
                      <w:color w:val="auto"/>
                    </w:rPr>
                  </w:pPr>
                  <w:r>
                    <w:rPr>
                      <w:color w:val="auto"/>
                    </w:rPr>
                    <w:t>产生量</w:t>
                  </w:r>
                </w:p>
                <w:p>
                  <w:pPr>
                    <w:pStyle w:val="57"/>
                    <w:rPr>
                      <w:color w:val="auto"/>
                    </w:rPr>
                  </w:pPr>
                  <w:r>
                    <w:rPr>
                      <w:color w:val="auto"/>
                    </w:rPr>
                    <w:t>（</w:t>
                  </w:r>
                  <w:r>
                    <w:rPr>
                      <w:rFonts w:hint="eastAsia"/>
                      <w:color w:val="auto"/>
                      <w:lang w:val="en-US" w:eastAsia="zh-CN"/>
                    </w:rPr>
                    <w:t>t/a</w:t>
                  </w:r>
                  <w:r>
                    <w:rPr>
                      <w:color w:val="auto"/>
                    </w:rPr>
                    <w:t>）</w:t>
                  </w:r>
                </w:p>
              </w:tc>
              <w:tc>
                <w:tcPr>
                  <w:tcW w:w="993" w:type="dxa"/>
                  <w:tcBorders>
                    <w:left w:val="single" w:color="auto" w:sz="4" w:space="0"/>
                    <w:right w:val="single" w:color="auto" w:sz="4" w:space="0"/>
                  </w:tcBorders>
                  <w:vAlign w:val="center"/>
                </w:tcPr>
                <w:p>
                  <w:pPr>
                    <w:pStyle w:val="57"/>
                    <w:rPr>
                      <w:color w:val="auto"/>
                    </w:rPr>
                  </w:pPr>
                  <w:r>
                    <w:rPr>
                      <w:color w:val="auto"/>
                    </w:rPr>
                    <w:t>去除效率</w:t>
                  </w:r>
                  <w:r>
                    <w:rPr>
                      <w:rFonts w:hint="eastAsia"/>
                      <w:color w:val="auto"/>
                    </w:rPr>
                    <w:t>%</w:t>
                  </w:r>
                </w:p>
              </w:tc>
              <w:tc>
                <w:tcPr>
                  <w:tcW w:w="1259" w:type="dxa"/>
                  <w:tcBorders>
                    <w:left w:val="single" w:color="auto" w:sz="4" w:space="0"/>
                    <w:right w:val="single" w:color="auto" w:sz="4" w:space="0"/>
                  </w:tcBorders>
                  <w:vAlign w:val="center"/>
                </w:tcPr>
                <w:p>
                  <w:pPr>
                    <w:pStyle w:val="57"/>
                    <w:rPr>
                      <w:color w:val="auto"/>
                    </w:rPr>
                  </w:pPr>
                  <w:r>
                    <w:rPr>
                      <w:rFonts w:hint="eastAsia"/>
                      <w:color w:val="auto"/>
                    </w:rPr>
                    <w:t>出水</w:t>
                  </w:r>
                  <w:r>
                    <w:rPr>
                      <w:color w:val="auto"/>
                    </w:rPr>
                    <w:t>浓度</w:t>
                  </w:r>
                </w:p>
                <w:p>
                  <w:pPr>
                    <w:pStyle w:val="57"/>
                    <w:rPr>
                      <w:color w:val="auto"/>
                    </w:rPr>
                  </w:pPr>
                  <w:r>
                    <w:rPr>
                      <w:color w:val="auto"/>
                    </w:rPr>
                    <w:t>（mg/L）</w:t>
                  </w:r>
                </w:p>
              </w:tc>
              <w:tc>
                <w:tcPr>
                  <w:tcW w:w="1004" w:type="dxa"/>
                  <w:tcBorders>
                    <w:left w:val="single" w:color="auto" w:sz="4" w:space="0"/>
                    <w:right w:val="single" w:color="auto" w:sz="4" w:space="0"/>
                  </w:tcBorders>
                  <w:vAlign w:val="center"/>
                </w:tcPr>
                <w:p>
                  <w:pPr>
                    <w:pStyle w:val="57"/>
                    <w:rPr>
                      <w:color w:val="auto"/>
                    </w:rPr>
                  </w:pPr>
                  <w:r>
                    <w:rPr>
                      <w:rFonts w:hint="eastAsia"/>
                      <w:color w:val="auto"/>
                    </w:rPr>
                    <w:t>出水</w:t>
                  </w:r>
                  <w:r>
                    <w:rPr>
                      <w:color w:val="auto"/>
                    </w:rPr>
                    <w:t>量</w:t>
                  </w:r>
                </w:p>
                <w:p>
                  <w:pPr>
                    <w:pStyle w:val="57"/>
                    <w:rPr>
                      <w:color w:val="auto"/>
                    </w:rPr>
                  </w:pPr>
                  <w:r>
                    <w:rPr>
                      <w:color w:val="auto"/>
                    </w:rPr>
                    <w:t>（</w:t>
                  </w:r>
                  <w:r>
                    <w:rPr>
                      <w:rFonts w:hint="eastAsia"/>
                      <w:color w:val="auto"/>
                      <w:lang w:val="en-US" w:eastAsia="zh-CN"/>
                    </w:rPr>
                    <w:t>t/a</w:t>
                  </w:r>
                  <w:r>
                    <w:rPr>
                      <w:color w:val="auto"/>
                    </w:rPr>
                    <w:t>）</w:t>
                  </w:r>
                </w:p>
              </w:tc>
              <w:tc>
                <w:tcPr>
                  <w:tcW w:w="1004" w:type="dxa"/>
                  <w:tcBorders>
                    <w:left w:val="single" w:color="auto" w:sz="4" w:space="0"/>
                    <w:right w:val="single" w:color="auto" w:sz="4" w:space="0"/>
                  </w:tcBorders>
                  <w:vAlign w:val="center"/>
                </w:tcPr>
                <w:p>
                  <w:pPr>
                    <w:pStyle w:val="57"/>
                    <w:rPr>
                      <w:color w:val="auto"/>
                    </w:rPr>
                  </w:pPr>
                  <w:r>
                    <w:rPr>
                      <w:rFonts w:hint="eastAsia"/>
                      <w:color w:val="auto"/>
                      <w:lang w:eastAsia="zh-CN"/>
                    </w:rPr>
                    <w:t>削减</w:t>
                  </w:r>
                  <w:r>
                    <w:rPr>
                      <w:rFonts w:hint="eastAsia"/>
                      <w:color w:val="auto"/>
                    </w:rPr>
                    <w:t>量</w:t>
                  </w:r>
                </w:p>
                <w:p>
                  <w:pPr>
                    <w:pStyle w:val="57"/>
                    <w:rPr>
                      <w:color w:val="auto"/>
                    </w:rPr>
                  </w:pPr>
                  <w:r>
                    <w:rPr>
                      <w:color w:val="auto"/>
                    </w:rPr>
                    <w:t>（</w:t>
                  </w:r>
                  <w:r>
                    <w:rPr>
                      <w:rFonts w:hint="eastAsia"/>
                      <w:color w:val="auto"/>
                      <w:lang w:val="en-US" w:eastAsia="zh-CN"/>
                    </w:rPr>
                    <w:t>t/a</w:t>
                  </w:r>
                  <w:r>
                    <w:rPr>
                      <w:color w:val="auto"/>
                    </w:rPr>
                    <w:t>）</w:t>
                  </w:r>
                </w:p>
              </w:tc>
              <w:tc>
                <w:tcPr>
                  <w:tcW w:w="1004" w:type="dxa"/>
                  <w:tcBorders>
                    <w:left w:val="single" w:color="auto" w:sz="4" w:space="0"/>
                    <w:right w:val="nil"/>
                  </w:tcBorders>
                  <w:vAlign w:val="center"/>
                </w:tcPr>
                <w:p>
                  <w:pPr>
                    <w:pStyle w:val="57"/>
                    <w:rPr>
                      <w:color w:val="auto"/>
                    </w:rPr>
                  </w:pPr>
                  <w:r>
                    <w:rPr>
                      <w:rFonts w:hint="eastAsia"/>
                      <w:color w:val="auto"/>
                    </w:rPr>
                    <w:t>排放量</w:t>
                  </w:r>
                </w:p>
                <w:p>
                  <w:pPr>
                    <w:pStyle w:val="57"/>
                    <w:rPr>
                      <w:color w:val="auto"/>
                    </w:rPr>
                  </w:pPr>
                  <w:r>
                    <w:rPr>
                      <w:color w:val="auto"/>
                    </w:rPr>
                    <w:t>（</w:t>
                  </w:r>
                  <w:r>
                    <w:rPr>
                      <w:rFonts w:hint="eastAsia"/>
                      <w:color w:val="auto"/>
                      <w:lang w:val="en-US" w:eastAsia="zh-CN"/>
                    </w:rPr>
                    <w:t>t</w:t>
                  </w:r>
                  <w:r>
                    <w:rPr>
                      <w:color w:val="auto"/>
                    </w:rPr>
                    <w: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rPr>
                      <w:color w:val="auto"/>
                    </w:rPr>
                  </w:pPr>
                  <w:r>
                    <w:rPr>
                      <w:color w:val="auto"/>
                    </w:rPr>
                    <w:t>水量</w:t>
                  </w:r>
                </w:p>
              </w:tc>
              <w:tc>
                <w:tcPr>
                  <w:tcW w:w="1135" w:type="dxa"/>
                  <w:tcBorders>
                    <w:left w:val="single" w:color="auto" w:sz="4" w:space="0"/>
                    <w:right w:val="single" w:color="auto" w:sz="4" w:space="0"/>
                  </w:tcBorders>
                  <w:vAlign w:val="center"/>
                </w:tcPr>
                <w:p>
                  <w:pPr>
                    <w:pStyle w:val="57"/>
                    <w:rPr>
                      <w:color w:val="auto"/>
                    </w:rPr>
                  </w:pPr>
                  <w:r>
                    <w:rPr>
                      <w:color w:val="auto"/>
                    </w:rPr>
                    <w:t>/</w:t>
                  </w:r>
                </w:p>
              </w:tc>
              <w:tc>
                <w:tcPr>
                  <w:tcW w:w="992" w:type="dxa"/>
                  <w:tcBorders>
                    <w:left w:val="single" w:color="auto" w:sz="4" w:space="0"/>
                    <w:right w:val="single" w:color="auto" w:sz="4" w:space="0"/>
                  </w:tcBorders>
                  <w:vAlign w:val="center"/>
                </w:tcPr>
                <w:p>
                  <w:pPr>
                    <w:pStyle w:val="57"/>
                    <w:rPr>
                      <w:rFonts w:hint="default" w:eastAsia="宋体"/>
                      <w:color w:val="auto"/>
                      <w:lang w:val="en-US" w:eastAsia="zh-CN"/>
                    </w:rPr>
                  </w:pPr>
                  <w:r>
                    <w:rPr>
                      <w:rFonts w:hint="eastAsia"/>
                      <w:color w:val="auto"/>
                      <w:lang w:val="en-US" w:eastAsia="zh-CN"/>
                    </w:rPr>
                    <w:t>93.44</w:t>
                  </w:r>
                </w:p>
              </w:tc>
              <w:tc>
                <w:tcPr>
                  <w:tcW w:w="993" w:type="dxa"/>
                  <w:tcBorders>
                    <w:left w:val="single" w:color="auto" w:sz="4" w:space="0"/>
                    <w:right w:val="single" w:color="auto" w:sz="4" w:space="0"/>
                  </w:tcBorders>
                  <w:vAlign w:val="center"/>
                </w:tcPr>
                <w:p>
                  <w:pPr>
                    <w:pStyle w:val="57"/>
                    <w:rPr>
                      <w:color w:val="auto"/>
                    </w:rPr>
                  </w:pPr>
                  <w:r>
                    <w:rPr>
                      <w:color w:val="auto"/>
                    </w:rPr>
                    <w:t>/</w:t>
                  </w:r>
                </w:p>
              </w:tc>
              <w:tc>
                <w:tcPr>
                  <w:tcW w:w="1259" w:type="dxa"/>
                  <w:tcBorders>
                    <w:left w:val="single" w:color="auto" w:sz="4" w:space="0"/>
                    <w:right w:val="single" w:color="auto" w:sz="4" w:space="0"/>
                  </w:tcBorders>
                  <w:vAlign w:val="center"/>
                </w:tcPr>
                <w:p>
                  <w:pPr>
                    <w:pStyle w:val="57"/>
                    <w:rPr>
                      <w:color w:val="auto"/>
                    </w:rPr>
                  </w:pPr>
                  <w:r>
                    <w:rPr>
                      <w:color w:val="auto"/>
                    </w:rPr>
                    <w:t>/</w:t>
                  </w:r>
                </w:p>
              </w:tc>
              <w:tc>
                <w:tcPr>
                  <w:tcW w:w="1004" w:type="dxa"/>
                  <w:tcBorders>
                    <w:left w:val="single" w:color="auto" w:sz="4" w:space="0"/>
                    <w:right w:val="single" w:color="auto" w:sz="4" w:space="0"/>
                  </w:tcBorders>
                  <w:vAlign w:val="center"/>
                </w:tcPr>
                <w:p>
                  <w:pPr>
                    <w:pStyle w:val="57"/>
                    <w:rPr>
                      <w:color w:val="auto"/>
                    </w:rPr>
                  </w:pPr>
                  <w:r>
                    <w:rPr>
                      <w:rFonts w:hint="eastAsia"/>
                      <w:color w:val="auto"/>
                      <w:lang w:val="en-US" w:eastAsia="zh-CN"/>
                    </w:rPr>
                    <w:t>93.44</w:t>
                  </w:r>
                </w:p>
              </w:tc>
              <w:tc>
                <w:tcPr>
                  <w:tcW w:w="1004" w:type="dxa"/>
                  <w:tcBorders>
                    <w:left w:val="single" w:color="auto" w:sz="4" w:space="0"/>
                    <w:right w:val="single" w:color="auto" w:sz="4" w:space="0"/>
                  </w:tcBorders>
                  <w:vAlign w:val="center"/>
                </w:tcPr>
                <w:p>
                  <w:pPr>
                    <w:pStyle w:val="57"/>
                    <w:rPr>
                      <w:color w:val="auto"/>
                    </w:rPr>
                  </w:pPr>
                  <w:r>
                    <w:rPr>
                      <w:rFonts w:hint="eastAsia"/>
                      <w:color w:val="auto"/>
                      <w:lang w:val="en-US" w:eastAsia="zh-CN"/>
                    </w:rPr>
                    <w:t>93.44</w:t>
                  </w:r>
                </w:p>
              </w:tc>
              <w:tc>
                <w:tcPr>
                  <w:tcW w:w="1004" w:type="dxa"/>
                  <w:tcBorders>
                    <w:left w:val="single" w:color="auto" w:sz="4" w:space="0"/>
                    <w:right w:val="nil"/>
                  </w:tcBorders>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rPr>
                      <w:color w:val="auto"/>
                    </w:rPr>
                  </w:pPr>
                  <w:r>
                    <w:rPr>
                      <w:color w:val="auto"/>
                    </w:rPr>
                    <w:t>COD</w:t>
                  </w:r>
                  <w:r>
                    <w:rPr>
                      <w:color w:val="auto"/>
                      <w:vertAlign w:val="subscript"/>
                    </w:rPr>
                    <w:t>Cr</w:t>
                  </w:r>
                </w:p>
              </w:tc>
              <w:tc>
                <w:tcPr>
                  <w:tcW w:w="1135"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250</w:t>
                  </w:r>
                </w:p>
              </w:tc>
              <w:tc>
                <w:tcPr>
                  <w:tcW w:w="992"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0.0640 </w:t>
                  </w:r>
                </w:p>
              </w:tc>
              <w:tc>
                <w:tcPr>
                  <w:tcW w:w="993" w:type="dxa"/>
                  <w:tcBorders>
                    <w:left w:val="single" w:color="auto" w:sz="4" w:space="0"/>
                    <w:right w:val="single" w:color="auto" w:sz="4" w:space="0"/>
                  </w:tcBorders>
                  <w:vAlign w:val="center"/>
                </w:tcPr>
                <w:p>
                  <w:pPr>
                    <w:pStyle w:val="57"/>
                    <w:rPr>
                      <w:color w:val="auto"/>
                    </w:rPr>
                  </w:pPr>
                  <w:r>
                    <w:rPr>
                      <w:color w:val="auto"/>
                    </w:rPr>
                    <w:t>20</w:t>
                  </w:r>
                </w:p>
              </w:tc>
              <w:tc>
                <w:tcPr>
                  <w:tcW w:w="1259" w:type="dxa"/>
                  <w:tcBorders>
                    <w:left w:val="single" w:color="auto" w:sz="4" w:space="0"/>
                    <w:right w:val="single" w:color="auto" w:sz="4" w:space="0"/>
                  </w:tcBorders>
                  <w:vAlign w:val="center"/>
                </w:tcPr>
                <w:p>
                  <w:pPr>
                    <w:pStyle w:val="57"/>
                    <w:rPr>
                      <w:color w:val="auto"/>
                    </w:rPr>
                  </w:pPr>
                  <w:r>
                    <w:rPr>
                      <w:color w:val="auto"/>
                    </w:rPr>
                    <w:t>200</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0.0512 </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0.0512 </w:t>
                  </w:r>
                </w:p>
              </w:tc>
              <w:tc>
                <w:tcPr>
                  <w:tcW w:w="1004" w:type="dxa"/>
                  <w:tcBorders>
                    <w:left w:val="single" w:color="auto" w:sz="4" w:space="0"/>
                    <w:right w:val="nil"/>
                  </w:tcBorders>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rPr>
                      <w:color w:val="auto"/>
                    </w:rPr>
                  </w:pPr>
                  <w:r>
                    <w:rPr>
                      <w:color w:val="auto"/>
                    </w:rPr>
                    <w:t>BOD</w:t>
                  </w:r>
                  <w:r>
                    <w:rPr>
                      <w:color w:val="auto"/>
                      <w:vertAlign w:val="subscript"/>
                    </w:rPr>
                    <w:t>5</w:t>
                  </w:r>
                </w:p>
              </w:tc>
              <w:tc>
                <w:tcPr>
                  <w:tcW w:w="1135"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120</w:t>
                  </w:r>
                </w:p>
              </w:tc>
              <w:tc>
                <w:tcPr>
                  <w:tcW w:w="992"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0.0307 </w:t>
                  </w:r>
                </w:p>
              </w:tc>
              <w:tc>
                <w:tcPr>
                  <w:tcW w:w="993" w:type="dxa"/>
                  <w:tcBorders>
                    <w:left w:val="single" w:color="auto" w:sz="4" w:space="0"/>
                    <w:right w:val="single" w:color="auto" w:sz="4" w:space="0"/>
                  </w:tcBorders>
                  <w:vAlign w:val="center"/>
                </w:tcPr>
                <w:p>
                  <w:pPr>
                    <w:pStyle w:val="57"/>
                    <w:rPr>
                      <w:color w:val="auto"/>
                    </w:rPr>
                  </w:pPr>
                  <w:r>
                    <w:rPr>
                      <w:color w:val="auto"/>
                    </w:rPr>
                    <w:t>16.67</w:t>
                  </w:r>
                </w:p>
              </w:tc>
              <w:tc>
                <w:tcPr>
                  <w:tcW w:w="1259" w:type="dxa"/>
                  <w:tcBorders>
                    <w:left w:val="single" w:color="auto" w:sz="4" w:space="0"/>
                    <w:right w:val="single" w:color="auto" w:sz="4" w:space="0"/>
                  </w:tcBorders>
                  <w:vAlign w:val="center"/>
                </w:tcPr>
                <w:p>
                  <w:pPr>
                    <w:pStyle w:val="57"/>
                    <w:rPr>
                      <w:color w:val="auto"/>
                    </w:rPr>
                  </w:pPr>
                  <w:r>
                    <w:rPr>
                      <w:color w:val="auto"/>
                    </w:rPr>
                    <w:t>100</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0.0256 </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0.0256 </w:t>
                  </w:r>
                </w:p>
              </w:tc>
              <w:tc>
                <w:tcPr>
                  <w:tcW w:w="1004" w:type="dxa"/>
                  <w:tcBorders>
                    <w:left w:val="single" w:color="auto" w:sz="4" w:space="0"/>
                    <w:right w:val="nil"/>
                  </w:tcBorders>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rPr>
                      <w:color w:val="auto"/>
                    </w:rPr>
                  </w:pPr>
                  <w:r>
                    <w:rPr>
                      <w:color w:val="auto"/>
                    </w:rPr>
                    <w:t>S</w:t>
                  </w:r>
                  <w:r>
                    <w:rPr>
                      <w:rFonts w:hint="eastAsia"/>
                      <w:color w:val="auto"/>
                    </w:rPr>
                    <w:t>S</w:t>
                  </w:r>
                </w:p>
              </w:tc>
              <w:tc>
                <w:tcPr>
                  <w:tcW w:w="1135"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200</w:t>
                  </w:r>
                </w:p>
              </w:tc>
              <w:tc>
                <w:tcPr>
                  <w:tcW w:w="992"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0.0512 </w:t>
                  </w:r>
                </w:p>
              </w:tc>
              <w:tc>
                <w:tcPr>
                  <w:tcW w:w="993" w:type="dxa"/>
                  <w:tcBorders>
                    <w:left w:val="single" w:color="auto" w:sz="4" w:space="0"/>
                    <w:right w:val="single" w:color="auto" w:sz="4" w:space="0"/>
                  </w:tcBorders>
                  <w:vAlign w:val="center"/>
                </w:tcPr>
                <w:p>
                  <w:pPr>
                    <w:pStyle w:val="57"/>
                    <w:rPr>
                      <w:color w:val="auto"/>
                    </w:rPr>
                  </w:pPr>
                  <w:r>
                    <w:rPr>
                      <w:color w:val="auto"/>
                    </w:rPr>
                    <w:t>50</w:t>
                  </w:r>
                </w:p>
              </w:tc>
              <w:tc>
                <w:tcPr>
                  <w:tcW w:w="1259" w:type="dxa"/>
                  <w:tcBorders>
                    <w:left w:val="single" w:color="auto" w:sz="4" w:space="0"/>
                    <w:right w:val="single" w:color="auto" w:sz="4" w:space="0"/>
                  </w:tcBorders>
                  <w:vAlign w:val="center"/>
                </w:tcPr>
                <w:p>
                  <w:pPr>
                    <w:pStyle w:val="57"/>
                    <w:rPr>
                      <w:color w:val="auto"/>
                    </w:rPr>
                  </w:pPr>
                  <w:r>
                    <w:rPr>
                      <w:color w:val="auto"/>
                    </w:rPr>
                    <w:t>100</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0.0256 </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0.0256 </w:t>
                  </w:r>
                </w:p>
              </w:tc>
              <w:tc>
                <w:tcPr>
                  <w:tcW w:w="1004" w:type="dxa"/>
                  <w:tcBorders>
                    <w:left w:val="single" w:color="auto" w:sz="4" w:space="0"/>
                    <w:right w:val="nil"/>
                  </w:tcBorders>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rPr>
                      <w:color w:val="auto"/>
                    </w:rPr>
                  </w:pPr>
                  <w:r>
                    <w:rPr>
                      <w:color w:val="auto"/>
                    </w:rPr>
                    <w:t>氨氮</w:t>
                  </w:r>
                </w:p>
              </w:tc>
              <w:tc>
                <w:tcPr>
                  <w:tcW w:w="1135"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30</w:t>
                  </w:r>
                </w:p>
              </w:tc>
              <w:tc>
                <w:tcPr>
                  <w:tcW w:w="992"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0.0077 </w:t>
                  </w:r>
                </w:p>
              </w:tc>
              <w:tc>
                <w:tcPr>
                  <w:tcW w:w="993" w:type="dxa"/>
                  <w:tcBorders>
                    <w:left w:val="single" w:color="auto" w:sz="4" w:space="0"/>
                    <w:right w:val="single" w:color="auto" w:sz="4" w:space="0"/>
                  </w:tcBorders>
                  <w:vAlign w:val="center"/>
                </w:tcPr>
                <w:p>
                  <w:pPr>
                    <w:pStyle w:val="57"/>
                    <w:rPr>
                      <w:color w:val="auto"/>
                    </w:rPr>
                  </w:pPr>
                  <w:r>
                    <w:rPr>
                      <w:color w:val="auto"/>
                    </w:rPr>
                    <w:t>10</w:t>
                  </w:r>
                </w:p>
              </w:tc>
              <w:tc>
                <w:tcPr>
                  <w:tcW w:w="1259" w:type="dxa"/>
                  <w:tcBorders>
                    <w:left w:val="single" w:color="auto" w:sz="4" w:space="0"/>
                    <w:right w:val="single" w:color="auto" w:sz="4" w:space="0"/>
                  </w:tcBorders>
                  <w:vAlign w:val="center"/>
                </w:tcPr>
                <w:p>
                  <w:pPr>
                    <w:pStyle w:val="57"/>
                    <w:rPr>
                      <w:color w:val="auto"/>
                    </w:rPr>
                  </w:pPr>
                  <w:r>
                    <w:rPr>
                      <w:rFonts w:hint="eastAsia"/>
                      <w:color w:val="auto"/>
                      <w:lang w:val="en-US" w:eastAsia="zh-CN"/>
                    </w:rPr>
                    <w:t>2</w:t>
                  </w:r>
                  <w:r>
                    <w:rPr>
                      <w:color w:val="auto"/>
                    </w:rPr>
                    <w:t>7</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0.0069 </w:t>
                  </w:r>
                </w:p>
              </w:tc>
              <w:tc>
                <w:tcPr>
                  <w:tcW w:w="1004" w:type="dxa"/>
                  <w:tcBorders>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rPr>
                  </w:pPr>
                  <w:r>
                    <w:rPr>
                      <w:rFonts w:hint="default" w:ascii="Times New Roman" w:hAnsi="Times New Roman" w:eastAsia="宋体" w:cs="Times New Roman"/>
                      <w:i w:val="0"/>
                      <w:color w:val="auto"/>
                      <w:kern w:val="0"/>
                      <w:sz w:val="21"/>
                      <w:szCs w:val="21"/>
                      <w:u w:val="none"/>
                      <w:lang w:val="en-US" w:eastAsia="zh-CN" w:bidi="ar"/>
                    </w:rPr>
                    <w:t xml:space="preserve">0.0069 </w:t>
                  </w:r>
                </w:p>
              </w:tc>
              <w:tc>
                <w:tcPr>
                  <w:tcW w:w="1004" w:type="dxa"/>
                  <w:tcBorders>
                    <w:left w:val="single" w:color="auto" w:sz="4" w:space="0"/>
                    <w:right w:val="nil"/>
                  </w:tcBorders>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00" w:type="dxa"/>
                  <w:tcBorders>
                    <w:right w:val="single" w:color="auto" w:sz="4" w:space="0"/>
                  </w:tcBorders>
                  <w:vAlign w:val="center"/>
                </w:tcPr>
                <w:p>
                  <w:pPr>
                    <w:pStyle w:val="57"/>
                    <w:ind w:firstLine="0" w:firstLineChars="0"/>
                    <w:jc w:val="both"/>
                    <w:rPr>
                      <w:rFonts w:hint="default" w:ascii="Times New Roman" w:hAnsi="Times New Roman" w:eastAsia="宋体" w:cstheme="minorBidi"/>
                      <w:color w:val="auto"/>
                      <w:kern w:val="2"/>
                      <w:sz w:val="21"/>
                      <w:szCs w:val="22"/>
                      <w:lang w:val="en-US" w:eastAsia="zh-CN" w:bidi="ar-SA"/>
                    </w:rPr>
                  </w:pPr>
                  <w:r>
                    <w:rPr>
                      <w:rFonts w:hint="default" w:ascii="Times New Roman" w:hAnsi="Times New Roman" w:cstheme="minorBidi"/>
                      <w:color w:val="auto"/>
                      <w:szCs w:val="22"/>
                    </w:rPr>
                    <w:t>动植物油</w:t>
                  </w:r>
                </w:p>
              </w:tc>
              <w:tc>
                <w:tcPr>
                  <w:tcW w:w="1135" w:type="dxa"/>
                  <w:tcBorders>
                    <w:left w:val="single" w:color="auto" w:sz="4" w:space="0"/>
                    <w:right w:val="single" w:color="auto" w:sz="4" w:space="0"/>
                  </w:tcBorders>
                  <w:vAlign w:val="center"/>
                </w:tcPr>
                <w:p>
                  <w:pPr>
                    <w:pStyle w:val="57"/>
                    <w:widowControl/>
                    <w:ind w:firstLine="420" w:firstLineChars="200"/>
                    <w:jc w:val="center"/>
                    <w:textAlignment w:val="center"/>
                    <w:rPr>
                      <w:rFonts w:hint="default" w:ascii="Times New Roman" w:hAnsi="Times New Roman" w:eastAsia="宋体" w:cstheme="minorBidi"/>
                      <w:color w:val="auto"/>
                      <w:kern w:val="2"/>
                      <w:sz w:val="21"/>
                      <w:szCs w:val="22"/>
                      <w:lang w:val="en-US" w:eastAsia="zh-CN" w:bidi="ar-SA"/>
                    </w:rPr>
                  </w:pPr>
                  <w:r>
                    <w:rPr>
                      <w:rFonts w:hint="default" w:ascii="Times New Roman" w:hAnsi="Times New Roman" w:cstheme="minorBidi"/>
                      <w:color w:val="auto"/>
                      <w:kern w:val="2"/>
                      <w:szCs w:val="22"/>
                      <w:lang w:bidi="ar"/>
                    </w:rPr>
                    <w:t>15</w:t>
                  </w:r>
                </w:p>
              </w:tc>
              <w:tc>
                <w:tcPr>
                  <w:tcW w:w="992" w:type="dxa"/>
                  <w:tcBorders>
                    <w:left w:val="single" w:color="auto" w:sz="4" w:space="0"/>
                    <w:right w:val="single" w:color="auto" w:sz="4" w:space="0"/>
                  </w:tcBorders>
                  <w:vAlign w:val="center"/>
                </w:tcPr>
                <w:p>
                  <w:pPr>
                    <w:pStyle w:val="57"/>
                    <w:widowControl/>
                    <w:ind w:firstLine="0" w:firstLineChars="0"/>
                    <w:jc w:val="both"/>
                    <w:textAlignment w:val="center"/>
                    <w:rPr>
                      <w:rFonts w:hint="default" w:ascii="Times New Roman" w:hAnsi="Times New Roman" w:eastAsia="宋体" w:cstheme="minorBidi"/>
                      <w:color w:val="auto"/>
                      <w:kern w:val="2"/>
                      <w:sz w:val="21"/>
                      <w:szCs w:val="22"/>
                      <w:lang w:val="en-US" w:eastAsia="zh-CN" w:bidi="ar-SA"/>
                    </w:rPr>
                  </w:pPr>
                  <w:r>
                    <w:rPr>
                      <w:rFonts w:hint="default" w:ascii="Times New Roman" w:hAnsi="Times New Roman" w:cstheme="minorBidi"/>
                      <w:color w:val="auto"/>
                      <w:kern w:val="2"/>
                      <w:szCs w:val="22"/>
                      <w:lang w:bidi="ar"/>
                    </w:rPr>
                    <w:t>0.00</w:t>
                  </w:r>
                  <w:r>
                    <w:rPr>
                      <w:rFonts w:hint="eastAsia" w:ascii="Times New Roman" w:hAnsi="Times New Roman" w:cstheme="minorBidi"/>
                      <w:color w:val="auto"/>
                      <w:kern w:val="2"/>
                      <w:szCs w:val="22"/>
                      <w:lang w:eastAsia="zh-CN" w:bidi="ar"/>
                    </w:rPr>
                    <w:t>3</w:t>
                  </w:r>
                  <w:r>
                    <w:rPr>
                      <w:rFonts w:hint="eastAsia" w:ascii="Times New Roman" w:hAnsi="Times New Roman" w:cstheme="minorBidi"/>
                      <w:color w:val="auto"/>
                      <w:kern w:val="2"/>
                      <w:szCs w:val="22"/>
                      <w:lang w:val="en-US" w:eastAsia="zh-CN" w:bidi="ar"/>
                    </w:rPr>
                    <w:t>8</w:t>
                  </w:r>
                </w:p>
              </w:tc>
              <w:tc>
                <w:tcPr>
                  <w:tcW w:w="993" w:type="dxa"/>
                  <w:tcBorders>
                    <w:left w:val="single" w:color="auto" w:sz="4" w:space="0"/>
                    <w:right w:val="single" w:color="auto" w:sz="4" w:space="0"/>
                  </w:tcBorders>
                  <w:vAlign w:val="center"/>
                </w:tcPr>
                <w:p>
                  <w:pPr>
                    <w:pStyle w:val="57"/>
                    <w:widowControl/>
                    <w:ind w:firstLine="0" w:firstLineChars="0"/>
                    <w:jc w:val="center"/>
                    <w:textAlignment w:val="center"/>
                    <w:rPr>
                      <w:rFonts w:hint="default" w:ascii="Times New Roman" w:hAnsi="Times New Roman" w:eastAsia="宋体" w:cstheme="minorBidi"/>
                      <w:color w:val="auto"/>
                      <w:kern w:val="2"/>
                      <w:sz w:val="21"/>
                      <w:szCs w:val="22"/>
                      <w:lang w:val="en-US" w:eastAsia="zh-CN" w:bidi="ar"/>
                    </w:rPr>
                  </w:pPr>
                  <w:r>
                    <w:rPr>
                      <w:rFonts w:hint="default" w:ascii="Times New Roman" w:hAnsi="Times New Roman" w:cstheme="minorBidi"/>
                      <w:color w:val="auto"/>
                      <w:kern w:val="2"/>
                      <w:szCs w:val="22"/>
                      <w:lang w:bidi="ar"/>
                    </w:rPr>
                    <w:t>60</w:t>
                  </w:r>
                </w:p>
              </w:tc>
              <w:tc>
                <w:tcPr>
                  <w:tcW w:w="1259" w:type="dxa"/>
                  <w:tcBorders>
                    <w:left w:val="single" w:color="auto" w:sz="4" w:space="0"/>
                    <w:right w:val="single" w:color="auto" w:sz="4" w:space="0"/>
                  </w:tcBorders>
                  <w:vAlign w:val="center"/>
                </w:tcPr>
                <w:p>
                  <w:pPr>
                    <w:pStyle w:val="57"/>
                    <w:widowControl/>
                    <w:ind w:firstLine="420" w:firstLineChars="200"/>
                    <w:jc w:val="both"/>
                    <w:textAlignment w:val="center"/>
                    <w:rPr>
                      <w:rFonts w:hint="default" w:ascii="Times New Roman" w:hAnsi="Times New Roman" w:eastAsia="宋体" w:cstheme="minorBidi"/>
                      <w:color w:val="auto"/>
                      <w:kern w:val="2"/>
                      <w:sz w:val="21"/>
                      <w:szCs w:val="22"/>
                      <w:lang w:val="en-US" w:eastAsia="zh-CN" w:bidi="ar"/>
                    </w:rPr>
                  </w:pPr>
                  <w:r>
                    <w:rPr>
                      <w:rFonts w:hint="default" w:ascii="Times New Roman" w:hAnsi="Times New Roman" w:cstheme="minorBidi"/>
                      <w:color w:val="auto"/>
                      <w:kern w:val="2"/>
                      <w:szCs w:val="22"/>
                      <w:lang w:bidi="ar"/>
                    </w:rPr>
                    <w:t>6</w:t>
                  </w:r>
                </w:p>
              </w:tc>
              <w:tc>
                <w:tcPr>
                  <w:tcW w:w="1004" w:type="dxa"/>
                  <w:tcBorders>
                    <w:left w:val="single" w:color="auto" w:sz="4" w:space="0"/>
                    <w:right w:val="single" w:color="auto" w:sz="4" w:space="0"/>
                  </w:tcBorders>
                  <w:vAlign w:val="center"/>
                </w:tcPr>
                <w:p>
                  <w:pPr>
                    <w:pStyle w:val="57"/>
                    <w:widowControl/>
                    <w:ind w:firstLine="0" w:firstLineChars="0"/>
                    <w:jc w:val="center"/>
                    <w:textAlignment w:val="center"/>
                    <w:rPr>
                      <w:rFonts w:hint="default" w:ascii="Times New Roman" w:hAnsi="Times New Roman" w:eastAsia="宋体" w:cstheme="minorBidi"/>
                      <w:color w:val="auto"/>
                      <w:kern w:val="2"/>
                      <w:sz w:val="21"/>
                      <w:szCs w:val="22"/>
                      <w:lang w:val="en-US" w:eastAsia="zh-CN" w:bidi="ar"/>
                    </w:rPr>
                  </w:pPr>
                  <w:r>
                    <w:rPr>
                      <w:rFonts w:hint="default" w:ascii="Times New Roman" w:hAnsi="Times New Roman" w:cstheme="minorBidi"/>
                      <w:color w:val="auto"/>
                      <w:kern w:val="2"/>
                      <w:szCs w:val="22"/>
                      <w:lang w:bidi="ar"/>
                    </w:rPr>
                    <w:t>0.00</w:t>
                  </w:r>
                  <w:r>
                    <w:rPr>
                      <w:rFonts w:hint="eastAsia" w:ascii="Times New Roman" w:hAnsi="Times New Roman" w:cstheme="minorBidi"/>
                      <w:color w:val="auto"/>
                      <w:kern w:val="2"/>
                      <w:szCs w:val="22"/>
                      <w:lang w:eastAsia="zh-CN" w:bidi="ar"/>
                    </w:rPr>
                    <w:t>1</w:t>
                  </w:r>
                  <w:r>
                    <w:rPr>
                      <w:rFonts w:hint="eastAsia" w:ascii="Times New Roman" w:hAnsi="Times New Roman" w:cstheme="minorBidi"/>
                      <w:color w:val="auto"/>
                      <w:kern w:val="2"/>
                      <w:szCs w:val="22"/>
                      <w:lang w:val="en-US" w:eastAsia="zh-CN" w:bidi="ar"/>
                    </w:rPr>
                    <w:t>5</w:t>
                  </w:r>
                </w:p>
              </w:tc>
              <w:tc>
                <w:tcPr>
                  <w:tcW w:w="1004" w:type="dxa"/>
                  <w:tcBorders>
                    <w:left w:val="single" w:color="auto" w:sz="4" w:space="0"/>
                    <w:right w:val="single" w:color="auto" w:sz="4" w:space="0"/>
                  </w:tcBorders>
                  <w:vAlign w:val="center"/>
                </w:tcPr>
                <w:p>
                  <w:pPr>
                    <w:pStyle w:val="57"/>
                    <w:widowControl/>
                    <w:ind w:firstLine="0" w:firstLineChars="0"/>
                    <w:jc w:val="center"/>
                    <w:textAlignment w:val="center"/>
                    <w:rPr>
                      <w:rFonts w:hint="default" w:ascii="Times New Roman" w:hAnsi="Times New Roman" w:eastAsia="宋体" w:cstheme="minorBidi"/>
                      <w:color w:val="auto"/>
                      <w:kern w:val="2"/>
                      <w:sz w:val="21"/>
                      <w:szCs w:val="22"/>
                      <w:lang w:val="en-US" w:eastAsia="zh-CN" w:bidi="ar-SA"/>
                    </w:rPr>
                  </w:pPr>
                  <w:r>
                    <w:rPr>
                      <w:rFonts w:hint="default" w:ascii="Times New Roman" w:hAnsi="Times New Roman" w:cstheme="minorBidi"/>
                      <w:color w:val="auto"/>
                      <w:kern w:val="2"/>
                      <w:szCs w:val="22"/>
                      <w:lang w:bidi="ar"/>
                    </w:rPr>
                    <w:t>0.0032</w:t>
                  </w:r>
                </w:p>
              </w:tc>
              <w:tc>
                <w:tcPr>
                  <w:tcW w:w="1004" w:type="dxa"/>
                  <w:tcBorders>
                    <w:left w:val="single" w:color="auto" w:sz="4" w:space="0"/>
                    <w:right w:val="nil"/>
                  </w:tcBorders>
                  <w:vAlign w:val="center"/>
                </w:tcPr>
                <w:p>
                  <w:pPr>
                    <w:pStyle w:val="57"/>
                    <w:widowControl/>
                    <w:ind w:firstLine="0" w:firstLineChars="0"/>
                    <w:jc w:val="center"/>
                    <w:textAlignment w:val="center"/>
                    <w:rPr>
                      <w:rFonts w:hint="default" w:ascii="Times New Roman" w:hAnsi="Times New Roman" w:eastAsia="宋体" w:cstheme="minorBidi"/>
                      <w:color w:val="auto"/>
                      <w:kern w:val="2"/>
                      <w:sz w:val="21"/>
                      <w:szCs w:val="22"/>
                      <w:lang w:val="en-US" w:eastAsia="zh-CN" w:bidi="ar-SA"/>
                    </w:rPr>
                  </w:pPr>
                  <w:r>
                    <w:rPr>
                      <w:rFonts w:hint="default" w:ascii="Times New Roman" w:hAnsi="Times New Roman" w:cstheme="minorBidi"/>
                      <w:color w:val="auto"/>
                      <w:kern w:val="2"/>
                      <w:szCs w:val="22"/>
                      <w:lang w:bidi="ar"/>
                    </w:rPr>
                    <w:t>0</w:t>
                  </w:r>
                </w:p>
              </w:tc>
            </w:tr>
          </w:tbl>
          <w:p>
            <w:pPr>
              <w:ind w:firstLine="474"/>
              <w:rPr>
                <w:b/>
                <w:color w:val="auto"/>
              </w:rPr>
            </w:pPr>
            <w:r>
              <w:rPr>
                <w:b/>
                <w:color w:val="auto"/>
                <w:spacing w:val="-2"/>
              </w:rPr>
              <w:t>2、</w:t>
            </w:r>
            <w:r>
              <w:rPr>
                <w:b/>
                <w:color w:val="auto"/>
              </w:rPr>
              <w:t>大气污染源及源强分析</w:t>
            </w:r>
          </w:p>
          <w:p>
            <w:pPr>
              <w:ind w:firstLine="480"/>
              <w:rPr>
                <w:color w:val="auto"/>
              </w:rPr>
            </w:pPr>
            <w:r>
              <w:rPr>
                <w:rFonts w:hint="eastAsia"/>
                <w:color w:val="auto"/>
              </w:rPr>
              <w:t>（</w:t>
            </w:r>
            <w:r>
              <w:rPr>
                <w:rFonts w:hint="eastAsia"/>
                <w:color w:val="auto"/>
                <w:lang w:val="en-US" w:eastAsia="zh-CN"/>
              </w:rPr>
              <w:t>1</w:t>
            </w:r>
            <w:r>
              <w:rPr>
                <w:rFonts w:hint="eastAsia"/>
                <w:color w:val="auto"/>
              </w:rPr>
              <w:t>）</w:t>
            </w:r>
            <w:r>
              <w:rPr>
                <w:color w:val="auto"/>
              </w:rPr>
              <w:t>食堂油烟</w:t>
            </w:r>
          </w:p>
          <w:p>
            <w:pPr>
              <w:ind w:firstLine="480"/>
              <w:rPr>
                <w:color w:val="auto"/>
                <w:szCs w:val="24"/>
                <w:highlight w:val="none"/>
              </w:rPr>
            </w:pPr>
            <w:r>
              <w:rPr>
                <w:color w:val="auto"/>
                <w:szCs w:val="24"/>
              </w:rPr>
              <w:t>项目日用餐人数约</w:t>
            </w:r>
            <w:r>
              <w:rPr>
                <w:rFonts w:hint="eastAsia"/>
                <w:color w:val="auto"/>
                <w:szCs w:val="24"/>
                <w:lang w:val="en-US" w:eastAsia="zh-CN"/>
              </w:rPr>
              <w:t>4</w:t>
            </w:r>
            <w:r>
              <w:rPr>
                <w:color w:val="auto"/>
                <w:szCs w:val="24"/>
              </w:rPr>
              <w:t>人。项目饭堂</w:t>
            </w:r>
            <w:r>
              <w:rPr>
                <w:color w:val="auto"/>
                <w:spacing w:val="-2"/>
                <w:szCs w:val="24"/>
              </w:rPr>
              <w:t>厨房使用液化气作为燃料，属于清洁燃料，无污染，燃料废气可忽略不计。据类比调查，人均用油量30g/人·d，一般油烟挥发量占总耗油量的2～4%</w:t>
            </w:r>
            <w:r>
              <w:rPr>
                <w:color w:val="auto"/>
                <w:spacing w:val="-2"/>
                <w:szCs w:val="24"/>
                <w:highlight w:val="none"/>
              </w:rPr>
              <w:t>，本工程油烟挥发率取</w:t>
            </w:r>
            <w:r>
              <w:rPr>
                <w:rFonts w:hint="eastAsia"/>
                <w:color w:val="auto"/>
                <w:spacing w:val="-2"/>
                <w:szCs w:val="24"/>
                <w:highlight w:val="none"/>
              </w:rPr>
              <w:t>3</w:t>
            </w:r>
            <w:r>
              <w:rPr>
                <w:color w:val="auto"/>
                <w:spacing w:val="-2"/>
                <w:szCs w:val="24"/>
                <w:highlight w:val="none"/>
              </w:rPr>
              <w:t>.0%</w:t>
            </w:r>
            <w:r>
              <w:rPr>
                <w:color w:val="auto"/>
                <w:szCs w:val="24"/>
                <w:highlight w:val="none"/>
              </w:rPr>
              <w:t>，则饭堂油烟废气的产生量约为</w:t>
            </w:r>
            <w:r>
              <w:rPr>
                <w:rFonts w:hint="eastAsia"/>
                <w:color w:val="auto"/>
                <w:szCs w:val="24"/>
                <w:highlight w:val="none"/>
              </w:rPr>
              <w:t>1.</w:t>
            </w:r>
            <w:r>
              <w:rPr>
                <w:rFonts w:hint="eastAsia"/>
                <w:color w:val="auto"/>
                <w:szCs w:val="24"/>
                <w:highlight w:val="none"/>
                <w:lang w:eastAsia="zh-CN"/>
              </w:rPr>
              <w:t>3</w:t>
            </w:r>
            <w:r>
              <w:rPr>
                <w:rFonts w:hint="eastAsia"/>
                <w:color w:val="auto"/>
                <w:szCs w:val="24"/>
                <w:highlight w:val="none"/>
                <w:lang w:val="en-US" w:eastAsia="zh-CN"/>
              </w:rPr>
              <w:t>14</w:t>
            </w:r>
            <w:r>
              <w:rPr>
                <w:rFonts w:hint="eastAsia"/>
                <w:color w:val="auto"/>
                <w:szCs w:val="24"/>
                <w:highlight w:val="none"/>
              </w:rPr>
              <w:t>kg</w:t>
            </w:r>
            <w:r>
              <w:rPr>
                <w:color w:val="auto"/>
                <w:szCs w:val="24"/>
                <w:highlight w:val="none"/>
              </w:rPr>
              <w:t>/a</w:t>
            </w:r>
            <w:r>
              <w:rPr>
                <w:color w:val="auto"/>
                <w:spacing w:val="-2"/>
                <w:szCs w:val="24"/>
                <w:highlight w:val="none"/>
              </w:rPr>
              <w:t>。</w:t>
            </w:r>
            <w:r>
              <w:rPr>
                <w:color w:val="auto"/>
                <w:szCs w:val="24"/>
                <w:highlight w:val="none"/>
              </w:rPr>
              <w:t>饭堂一天运行时间约为2小时，油烟产生量约为2000m³/h</w:t>
            </w:r>
            <w:r>
              <w:rPr>
                <w:rFonts w:hint="eastAsia"/>
                <w:color w:val="auto"/>
                <w:szCs w:val="24"/>
                <w:highlight w:val="none"/>
              </w:rPr>
              <w:t>，则</w:t>
            </w:r>
            <w:r>
              <w:rPr>
                <w:color w:val="auto"/>
                <w:szCs w:val="24"/>
                <w:highlight w:val="none"/>
              </w:rPr>
              <w:t>产生浓度约为</w:t>
            </w:r>
            <w:r>
              <w:rPr>
                <w:rFonts w:hint="eastAsia"/>
                <w:color w:val="auto"/>
                <w:szCs w:val="24"/>
                <w:highlight w:val="none"/>
                <w:lang w:eastAsia="zh-CN"/>
              </w:rPr>
              <w:t>0</w:t>
            </w:r>
            <w:r>
              <w:rPr>
                <w:rFonts w:hint="eastAsia"/>
                <w:color w:val="auto"/>
                <w:szCs w:val="24"/>
                <w:highlight w:val="none"/>
                <w:lang w:val="en-US" w:eastAsia="zh-CN"/>
              </w:rPr>
              <w:t>.365</w:t>
            </w:r>
            <w:r>
              <w:rPr>
                <w:color w:val="auto"/>
                <w:szCs w:val="24"/>
                <w:highlight w:val="none"/>
              </w:rPr>
              <w:t>mg/</w:t>
            </w:r>
            <w:r>
              <w:rPr>
                <w:color w:val="auto"/>
                <w:spacing w:val="-3"/>
                <w:w w:val="101"/>
                <w:kern w:val="0"/>
                <w:szCs w:val="24"/>
                <w:highlight w:val="none"/>
              </w:rPr>
              <w:t>m³</w:t>
            </w:r>
            <w:r>
              <w:rPr>
                <w:rFonts w:hint="eastAsia"/>
                <w:color w:val="auto"/>
                <w:szCs w:val="24"/>
                <w:highlight w:val="none"/>
              </w:rPr>
              <w:t>。</w:t>
            </w:r>
            <w:r>
              <w:rPr>
                <w:color w:val="auto"/>
                <w:szCs w:val="24"/>
                <w:highlight w:val="none"/>
              </w:rPr>
              <w:t>厨房油烟废气经吸排油烟机抽至室内排烟通道直通食堂楼顶。食堂厨房油烟污染物源强见下表：</w:t>
            </w:r>
          </w:p>
          <w:p>
            <w:pPr>
              <w:pStyle w:val="56"/>
              <w:rPr>
                <w:color w:val="auto"/>
                <w:highlight w:val="none"/>
              </w:rPr>
            </w:pPr>
            <w:r>
              <w:rPr>
                <w:color w:val="auto"/>
                <w:highlight w:val="none"/>
              </w:rPr>
              <w:t>表</w:t>
            </w:r>
            <w:r>
              <w:rPr>
                <w:rFonts w:hint="eastAsia"/>
                <w:color w:val="auto"/>
                <w:highlight w:val="none"/>
                <w:lang w:eastAsia="zh-CN"/>
              </w:rPr>
              <w:t>5</w:t>
            </w:r>
            <w:r>
              <w:rPr>
                <w:rFonts w:hint="eastAsia"/>
                <w:color w:val="auto"/>
                <w:highlight w:val="none"/>
                <w:lang w:val="en-US" w:eastAsia="zh-CN"/>
              </w:rPr>
              <w:t xml:space="preserve">-2 </w:t>
            </w:r>
            <w:r>
              <w:rPr>
                <w:color w:val="auto"/>
                <w:highlight w:val="none"/>
              </w:rPr>
              <w:t xml:space="preserve"> </w:t>
            </w:r>
            <w:r>
              <w:rPr>
                <w:rFonts w:hint="eastAsia"/>
                <w:color w:val="auto"/>
                <w:highlight w:val="none"/>
              </w:rPr>
              <w:t>食</w:t>
            </w:r>
            <w:r>
              <w:rPr>
                <w:color w:val="auto"/>
                <w:highlight w:val="none"/>
              </w:rPr>
              <w:t>堂厨房油烟污染源强</w:t>
            </w:r>
          </w:p>
          <w:p>
            <w:pPr>
              <w:autoSpaceDE w:val="0"/>
              <w:autoSpaceDN w:val="0"/>
              <w:adjustRightInd w:val="0"/>
              <w:spacing w:before="6" w:line="30" w:lineRule="exact"/>
              <w:ind w:firstLine="60"/>
              <w:jc w:val="left"/>
              <w:rPr>
                <w:color w:val="auto"/>
                <w:kern w:val="0"/>
                <w:sz w:val="3"/>
                <w:szCs w:val="3"/>
                <w:highlight w:val="none"/>
              </w:rPr>
            </w:pPr>
          </w:p>
          <w:tbl>
            <w:tblPr>
              <w:tblStyle w:val="39"/>
              <w:tblW w:w="8494"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834"/>
              <w:gridCol w:w="1842"/>
              <w:gridCol w:w="1560"/>
              <w:gridCol w:w="850"/>
              <w:gridCol w:w="1559"/>
              <w:gridCol w:w="1849"/>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Ex>
              <w:trPr>
                <w:trHeight w:val="397" w:hRule="atLeast"/>
                <w:jc w:val="center"/>
              </w:trPr>
              <w:tc>
                <w:tcPr>
                  <w:tcW w:w="834" w:type="dxa"/>
                  <w:vAlign w:val="center"/>
                </w:tcPr>
                <w:p>
                  <w:pPr>
                    <w:pStyle w:val="57"/>
                    <w:rPr>
                      <w:color w:val="auto"/>
                      <w:highlight w:val="none"/>
                    </w:rPr>
                  </w:pPr>
                  <w:r>
                    <w:rPr>
                      <w:color w:val="auto"/>
                      <w:highlight w:val="none"/>
                    </w:rPr>
                    <w:t>污染物</w:t>
                  </w:r>
                </w:p>
              </w:tc>
              <w:tc>
                <w:tcPr>
                  <w:tcW w:w="1842" w:type="dxa"/>
                  <w:vAlign w:val="center"/>
                </w:tcPr>
                <w:p>
                  <w:pPr>
                    <w:pStyle w:val="57"/>
                    <w:rPr>
                      <w:color w:val="auto"/>
                      <w:highlight w:val="none"/>
                    </w:rPr>
                  </w:pPr>
                  <w:r>
                    <w:rPr>
                      <w:color w:val="auto"/>
                      <w:highlight w:val="none"/>
                    </w:rPr>
                    <w:t>产生浓度</w:t>
                  </w:r>
                  <w:r>
                    <w:rPr>
                      <w:color w:val="auto"/>
                      <w:spacing w:val="5"/>
                      <w:position w:val="-1"/>
                      <w:highlight w:val="none"/>
                    </w:rPr>
                    <w:t>（</w:t>
                  </w:r>
                  <w:r>
                    <w:rPr>
                      <w:color w:val="auto"/>
                      <w:spacing w:val="-6"/>
                      <w:position w:val="-1"/>
                      <w:highlight w:val="none"/>
                    </w:rPr>
                    <w:t>m</w:t>
                  </w:r>
                  <w:r>
                    <w:rPr>
                      <w:color w:val="auto"/>
                      <w:spacing w:val="-5"/>
                      <w:position w:val="-1"/>
                      <w:highlight w:val="none"/>
                    </w:rPr>
                    <w:t>g</w:t>
                  </w:r>
                  <w:r>
                    <w:rPr>
                      <w:color w:val="auto"/>
                      <w:spacing w:val="4"/>
                      <w:position w:val="-1"/>
                      <w:highlight w:val="none"/>
                    </w:rPr>
                    <w:t>/</w:t>
                  </w:r>
                  <w:r>
                    <w:rPr>
                      <w:color w:val="auto"/>
                      <w:spacing w:val="-3"/>
                      <w:w w:val="101"/>
                      <w:highlight w:val="none"/>
                    </w:rPr>
                    <w:t>m³</w:t>
                  </w:r>
                  <w:r>
                    <w:rPr>
                      <w:color w:val="auto"/>
                      <w:position w:val="-1"/>
                      <w:highlight w:val="none"/>
                    </w:rPr>
                    <w:t>）</w:t>
                  </w:r>
                </w:p>
              </w:tc>
              <w:tc>
                <w:tcPr>
                  <w:tcW w:w="1560" w:type="dxa"/>
                  <w:vAlign w:val="center"/>
                </w:tcPr>
                <w:p>
                  <w:pPr>
                    <w:pStyle w:val="57"/>
                    <w:rPr>
                      <w:color w:val="auto"/>
                      <w:highlight w:val="none"/>
                    </w:rPr>
                  </w:pPr>
                  <w:r>
                    <w:rPr>
                      <w:color w:val="auto"/>
                      <w:highlight w:val="none"/>
                    </w:rPr>
                    <w:t>产生量</w:t>
                  </w:r>
                  <w:r>
                    <w:rPr>
                      <w:color w:val="auto"/>
                      <w:position w:val="-1"/>
                      <w:highlight w:val="none"/>
                    </w:rPr>
                    <w:t>（</w:t>
                  </w:r>
                  <w:r>
                    <w:rPr>
                      <w:color w:val="auto"/>
                      <w:spacing w:val="-5"/>
                      <w:position w:val="-1"/>
                      <w:highlight w:val="none"/>
                    </w:rPr>
                    <w:t>kg/a</w:t>
                  </w:r>
                  <w:r>
                    <w:rPr>
                      <w:color w:val="auto"/>
                      <w:position w:val="-1"/>
                      <w:highlight w:val="none"/>
                    </w:rPr>
                    <w:t>）</w:t>
                  </w:r>
                </w:p>
              </w:tc>
              <w:tc>
                <w:tcPr>
                  <w:tcW w:w="850" w:type="dxa"/>
                  <w:vAlign w:val="center"/>
                </w:tcPr>
                <w:p>
                  <w:pPr>
                    <w:pStyle w:val="57"/>
                    <w:rPr>
                      <w:color w:val="auto"/>
                      <w:highlight w:val="none"/>
                    </w:rPr>
                  </w:pPr>
                  <w:r>
                    <w:rPr>
                      <w:color w:val="auto"/>
                      <w:highlight w:val="none"/>
                    </w:rPr>
                    <w:t>去除率</w:t>
                  </w:r>
                </w:p>
              </w:tc>
              <w:tc>
                <w:tcPr>
                  <w:tcW w:w="1559" w:type="dxa"/>
                  <w:vAlign w:val="center"/>
                </w:tcPr>
                <w:p>
                  <w:pPr>
                    <w:pStyle w:val="57"/>
                    <w:rPr>
                      <w:color w:val="auto"/>
                      <w:highlight w:val="none"/>
                    </w:rPr>
                  </w:pPr>
                  <w:r>
                    <w:rPr>
                      <w:color w:val="auto"/>
                      <w:position w:val="-2"/>
                      <w:highlight w:val="none"/>
                    </w:rPr>
                    <w:t>排放量</w:t>
                  </w:r>
                  <w:r>
                    <w:rPr>
                      <w:color w:val="auto"/>
                      <w:position w:val="-1"/>
                      <w:highlight w:val="none"/>
                    </w:rPr>
                    <w:t>（</w:t>
                  </w:r>
                  <w:r>
                    <w:rPr>
                      <w:color w:val="auto"/>
                      <w:spacing w:val="-5"/>
                      <w:position w:val="-1"/>
                      <w:highlight w:val="none"/>
                    </w:rPr>
                    <w:t>kg/a</w:t>
                  </w:r>
                  <w:r>
                    <w:rPr>
                      <w:color w:val="auto"/>
                      <w:position w:val="-1"/>
                      <w:highlight w:val="none"/>
                    </w:rPr>
                    <w:t>）</w:t>
                  </w:r>
                </w:p>
              </w:tc>
              <w:tc>
                <w:tcPr>
                  <w:tcW w:w="1849" w:type="dxa"/>
                  <w:vAlign w:val="center"/>
                </w:tcPr>
                <w:p>
                  <w:pPr>
                    <w:pStyle w:val="57"/>
                    <w:rPr>
                      <w:color w:val="auto"/>
                      <w:highlight w:val="none"/>
                    </w:rPr>
                  </w:pPr>
                  <w:r>
                    <w:rPr>
                      <w:color w:val="auto"/>
                      <w:position w:val="-2"/>
                      <w:highlight w:val="none"/>
                    </w:rPr>
                    <w:t>排放浓度</w:t>
                  </w:r>
                  <w:r>
                    <w:rPr>
                      <w:color w:val="auto"/>
                      <w:spacing w:val="5"/>
                      <w:position w:val="-1"/>
                      <w:highlight w:val="none"/>
                    </w:rPr>
                    <w:t>（</w:t>
                  </w:r>
                  <w:r>
                    <w:rPr>
                      <w:color w:val="auto"/>
                      <w:spacing w:val="-6"/>
                      <w:position w:val="-1"/>
                      <w:highlight w:val="none"/>
                    </w:rPr>
                    <w:t>m</w:t>
                  </w:r>
                  <w:r>
                    <w:rPr>
                      <w:color w:val="auto"/>
                      <w:spacing w:val="-5"/>
                      <w:position w:val="-1"/>
                      <w:highlight w:val="none"/>
                    </w:rPr>
                    <w:t>g</w:t>
                  </w:r>
                  <w:r>
                    <w:rPr>
                      <w:color w:val="auto"/>
                      <w:spacing w:val="4"/>
                      <w:position w:val="-1"/>
                      <w:highlight w:val="none"/>
                    </w:rPr>
                    <w:t>/</w:t>
                  </w:r>
                  <w:r>
                    <w:rPr>
                      <w:color w:val="auto"/>
                      <w:spacing w:val="-3"/>
                      <w:w w:val="101"/>
                      <w:highlight w:val="none"/>
                    </w:rPr>
                    <w:t>m³</w:t>
                  </w:r>
                  <w:r>
                    <w:rPr>
                      <w:color w:val="auto"/>
                      <w:position w:val="-1"/>
                      <w:highlight w:val="none"/>
                    </w:rPr>
                    <w:t>）</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Ex>
              <w:trPr>
                <w:trHeight w:val="397" w:hRule="atLeast"/>
                <w:jc w:val="center"/>
              </w:trPr>
              <w:tc>
                <w:tcPr>
                  <w:tcW w:w="834" w:type="dxa"/>
                  <w:vAlign w:val="center"/>
                </w:tcPr>
                <w:p>
                  <w:pPr>
                    <w:pStyle w:val="57"/>
                    <w:rPr>
                      <w:color w:val="auto"/>
                      <w:highlight w:val="none"/>
                    </w:rPr>
                  </w:pPr>
                  <w:r>
                    <w:rPr>
                      <w:color w:val="auto"/>
                      <w:highlight w:val="none"/>
                    </w:rPr>
                    <w:t>油烟</w:t>
                  </w:r>
                </w:p>
              </w:tc>
              <w:tc>
                <w:tcPr>
                  <w:tcW w:w="1842" w:type="dxa"/>
                  <w:vAlign w:val="center"/>
                </w:tcPr>
                <w:p>
                  <w:pPr>
                    <w:pStyle w:val="57"/>
                    <w:rPr>
                      <w:rFonts w:hint="default"/>
                      <w:color w:val="auto"/>
                      <w:highlight w:val="none"/>
                    </w:rPr>
                  </w:pPr>
                  <w:r>
                    <w:rPr>
                      <w:rFonts w:hint="eastAsia"/>
                      <w:color w:val="auto"/>
                      <w:highlight w:val="none"/>
                      <w:lang w:eastAsia="zh-CN"/>
                    </w:rPr>
                    <w:t>0</w:t>
                  </w:r>
                  <w:r>
                    <w:rPr>
                      <w:rFonts w:hint="eastAsia"/>
                      <w:color w:val="auto"/>
                      <w:highlight w:val="none"/>
                      <w:lang w:val="en-US" w:eastAsia="zh-CN"/>
                    </w:rPr>
                    <w:t>.365</w:t>
                  </w:r>
                </w:p>
              </w:tc>
              <w:tc>
                <w:tcPr>
                  <w:tcW w:w="1560" w:type="dxa"/>
                  <w:vAlign w:val="center"/>
                </w:tcPr>
                <w:p>
                  <w:pPr>
                    <w:pStyle w:val="57"/>
                    <w:rPr>
                      <w:rFonts w:hint="default"/>
                      <w:color w:val="auto"/>
                      <w:highlight w:val="none"/>
                    </w:rPr>
                  </w:pPr>
                  <w:r>
                    <w:rPr>
                      <w:rFonts w:hint="eastAsia"/>
                      <w:color w:val="auto"/>
                      <w:highlight w:val="none"/>
                      <w:lang w:eastAsia="zh-CN"/>
                    </w:rPr>
                    <w:t>1</w:t>
                  </w:r>
                  <w:r>
                    <w:rPr>
                      <w:rFonts w:hint="eastAsia"/>
                      <w:color w:val="auto"/>
                      <w:highlight w:val="none"/>
                      <w:lang w:val="en-US" w:eastAsia="zh-CN"/>
                    </w:rPr>
                    <w:t>.314</w:t>
                  </w:r>
                </w:p>
              </w:tc>
              <w:tc>
                <w:tcPr>
                  <w:tcW w:w="850" w:type="dxa"/>
                  <w:vAlign w:val="center"/>
                </w:tcPr>
                <w:p>
                  <w:pPr>
                    <w:pStyle w:val="57"/>
                    <w:rPr>
                      <w:color w:val="auto"/>
                      <w:highlight w:val="none"/>
                    </w:rPr>
                  </w:pPr>
                  <w:r>
                    <w:rPr>
                      <w:color w:val="auto"/>
                      <w:highlight w:val="none"/>
                    </w:rPr>
                    <w:t>60%</w:t>
                  </w:r>
                </w:p>
              </w:tc>
              <w:tc>
                <w:tcPr>
                  <w:tcW w:w="1559" w:type="dxa"/>
                  <w:vAlign w:val="center"/>
                </w:tcPr>
                <w:p>
                  <w:pPr>
                    <w:pStyle w:val="57"/>
                    <w:rPr>
                      <w:rFonts w:hint="default"/>
                      <w:color w:val="auto"/>
                      <w:highlight w:val="none"/>
                    </w:rPr>
                  </w:pPr>
                  <w:r>
                    <w:rPr>
                      <w:rFonts w:hint="eastAsia"/>
                      <w:color w:val="auto"/>
                      <w:highlight w:val="none"/>
                      <w:lang w:eastAsia="zh-CN"/>
                    </w:rPr>
                    <w:t>0</w:t>
                  </w:r>
                  <w:r>
                    <w:rPr>
                      <w:rFonts w:hint="eastAsia"/>
                      <w:color w:val="auto"/>
                      <w:highlight w:val="none"/>
                      <w:lang w:val="en-US" w:eastAsia="zh-CN"/>
                    </w:rPr>
                    <w:t>.526</w:t>
                  </w:r>
                </w:p>
              </w:tc>
              <w:tc>
                <w:tcPr>
                  <w:tcW w:w="1849" w:type="dxa"/>
                  <w:vAlign w:val="center"/>
                </w:tcPr>
                <w:p>
                  <w:pPr>
                    <w:pStyle w:val="57"/>
                    <w:rPr>
                      <w:rFonts w:hint="default"/>
                      <w:color w:val="auto"/>
                      <w:highlight w:val="none"/>
                    </w:rPr>
                  </w:pPr>
                  <w:r>
                    <w:rPr>
                      <w:rFonts w:hint="eastAsia"/>
                      <w:color w:val="auto"/>
                      <w:highlight w:val="none"/>
                    </w:rPr>
                    <w:t>0.</w:t>
                  </w:r>
                  <w:r>
                    <w:rPr>
                      <w:rFonts w:hint="eastAsia"/>
                      <w:color w:val="auto"/>
                      <w:highlight w:val="none"/>
                      <w:lang w:eastAsia="zh-CN"/>
                    </w:rPr>
                    <w:t>1</w:t>
                  </w:r>
                  <w:r>
                    <w:rPr>
                      <w:rFonts w:hint="eastAsia"/>
                      <w:color w:val="auto"/>
                      <w:highlight w:val="none"/>
                      <w:lang w:val="en-US" w:eastAsia="zh-CN"/>
                    </w:rPr>
                    <w:t>46</w:t>
                  </w:r>
                </w:p>
              </w:tc>
            </w:tr>
          </w:tbl>
          <w:p>
            <w:pPr>
              <w:adjustRightInd w:val="0"/>
              <w:snapToGrid w:val="0"/>
              <w:ind w:firstLine="482"/>
              <w:rPr>
                <w:b/>
                <w:color w:val="auto"/>
                <w:spacing w:val="-2"/>
                <w:szCs w:val="24"/>
                <w:highlight w:val="none"/>
              </w:rPr>
            </w:pPr>
            <w:r>
              <w:rPr>
                <w:b/>
                <w:color w:val="auto"/>
                <w:highlight w:val="none"/>
              </w:rPr>
              <w:t>3、</w:t>
            </w:r>
            <w:r>
              <w:rPr>
                <w:b/>
                <w:bCs/>
                <w:color w:val="auto"/>
                <w:szCs w:val="24"/>
                <w:highlight w:val="none"/>
              </w:rPr>
              <w:t>噪声污染源</w:t>
            </w:r>
            <w:r>
              <w:rPr>
                <w:b/>
                <w:color w:val="auto"/>
                <w:szCs w:val="24"/>
                <w:highlight w:val="none"/>
              </w:rPr>
              <w:t>及</w:t>
            </w:r>
            <w:r>
              <w:rPr>
                <w:b/>
                <w:bCs/>
                <w:color w:val="auto"/>
                <w:szCs w:val="24"/>
                <w:highlight w:val="none"/>
              </w:rPr>
              <w:t>污染</w:t>
            </w:r>
            <w:r>
              <w:rPr>
                <w:b/>
                <w:color w:val="auto"/>
                <w:szCs w:val="24"/>
                <w:highlight w:val="none"/>
              </w:rPr>
              <w:t>源强分析</w:t>
            </w:r>
          </w:p>
          <w:p>
            <w:pPr>
              <w:ind w:firstLine="480"/>
              <w:rPr>
                <w:color w:val="auto"/>
              </w:rPr>
            </w:pPr>
            <w:r>
              <w:rPr>
                <w:color w:val="auto"/>
              </w:rPr>
              <w:t>本工程噪声主要来为</w:t>
            </w:r>
            <w:r>
              <w:rPr>
                <w:rFonts w:hint="eastAsia"/>
                <w:color w:val="auto"/>
              </w:rPr>
              <w:t>加药泵</w:t>
            </w:r>
            <w:r>
              <w:rPr>
                <w:color w:val="auto"/>
              </w:rPr>
              <w:t>运行产生的噪声，其噪声强度约为80~90dB（A）。</w:t>
            </w:r>
          </w:p>
          <w:p>
            <w:pPr>
              <w:ind w:firstLine="482"/>
              <w:jc w:val="center"/>
              <w:rPr>
                <w:b/>
                <w:color w:val="auto"/>
                <w:szCs w:val="24"/>
              </w:rPr>
            </w:pPr>
            <w:r>
              <w:rPr>
                <w:b/>
                <w:color w:val="auto"/>
                <w:szCs w:val="24"/>
              </w:rPr>
              <w:t>表</w:t>
            </w:r>
            <w:r>
              <w:rPr>
                <w:rFonts w:hint="eastAsia"/>
                <w:b/>
                <w:color w:val="auto"/>
                <w:szCs w:val="24"/>
                <w:lang w:val="en-US" w:eastAsia="zh-CN"/>
              </w:rPr>
              <w:t>5-3</w:t>
            </w:r>
            <w:r>
              <w:rPr>
                <w:b/>
                <w:color w:val="auto"/>
                <w:szCs w:val="24"/>
              </w:rPr>
              <w:t xml:space="preserve">  设备噪声源强</w:t>
            </w:r>
          </w:p>
          <w:tbl>
            <w:tblPr>
              <w:tblStyle w:val="39"/>
              <w:tblW w:w="849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571"/>
              <w:gridCol w:w="3179"/>
              <w:gridCol w:w="1871"/>
              <w:gridCol w:w="187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571" w:type="dxa"/>
                  <w:vAlign w:val="center"/>
                </w:tcPr>
                <w:p>
                  <w:pPr>
                    <w:pStyle w:val="57"/>
                    <w:rPr>
                      <w:color w:val="auto"/>
                    </w:rPr>
                  </w:pPr>
                  <w:r>
                    <w:rPr>
                      <w:color w:val="auto"/>
                    </w:rPr>
                    <w:t>序号</w:t>
                  </w:r>
                </w:p>
              </w:tc>
              <w:tc>
                <w:tcPr>
                  <w:tcW w:w="3179" w:type="dxa"/>
                  <w:vAlign w:val="center"/>
                </w:tcPr>
                <w:p>
                  <w:pPr>
                    <w:pStyle w:val="57"/>
                    <w:rPr>
                      <w:color w:val="auto"/>
                    </w:rPr>
                  </w:pPr>
                  <w:r>
                    <w:rPr>
                      <w:color w:val="auto"/>
                    </w:rPr>
                    <w:t>设备名称</w:t>
                  </w:r>
                </w:p>
              </w:tc>
              <w:tc>
                <w:tcPr>
                  <w:tcW w:w="1871" w:type="dxa"/>
                  <w:vAlign w:val="center"/>
                </w:tcPr>
                <w:p>
                  <w:pPr>
                    <w:pStyle w:val="57"/>
                    <w:rPr>
                      <w:color w:val="auto"/>
                    </w:rPr>
                  </w:pPr>
                  <w:r>
                    <w:rPr>
                      <w:rFonts w:hint="eastAsia"/>
                      <w:color w:val="auto"/>
                    </w:rPr>
                    <w:t>数量</w:t>
                  </w:r>
                </w:p>
              </w:tc>
              <w:tc>
                <w:tcPr>
                  <w:tcW w:w="1871" w:type="dxa"/>
                  <w:vAlign w:val="center"/>
                </w:tcPr>
                <w:p>
                  <w:pPr>
                    <w:pStyle w:val="57"/>
                    <w:rPr>
                      <w:color w:val="auto"/>
                    </w:rPr>
                  </w:pPr>
                  <w:r>
                    <w:rPr>
                      <w:color w:val="auto"/>
                    </w:rPr>
                    <w:t>源强dB（A）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1571" w:type="dxa"/>
                  <w:vAlign w:val="center"/>
                </w:tcPr>
                <w:p>
                  <w:pPr>
                    <w:pStyle w:val="57"/>
                    <w:rPr>
                      <w:color w:val="auto"/>
                    </w:rPr>
                  </w:pPr>
                  <w:r>
                    <w:rPr>
                      <w:color w:val="auto"/>
                    </w:rPr>
                    <w:t>1</w:t>
                  </w:r>
                </w:p>
              </w:tc>
              <w:tc>
                <w:tcPr>
                  <w:tcW w:w="3179" w:type="dxa"/>
                  <w:vAlign w:val="center"/>
                </w:tcPr>
                <w:p>
                  <w:pPr>
                    <w:pStyle w:val="57"/>
                    <w:rPr>
                      <w:color w:val="auto"/>
                    </w:rPr>
                  </w:pPr>
                  <w:r>
                    <w:rPr>
                      <w:rFonts w:hint="eastAsia"/>
                      <w:color w:val="auto"/>
                    </w:rPr>
                    <w:t>加药泵</w:t>
                  </w:r>
                </w:p>
              </w:tc>
              <w:tc>
                <w:tcPr>
                  <w:tcW w:w="1871" w:type="dxa"/>
                  <w:vAlign w:val="center"/>
                </w:tcPr>
                <w:p>
                  <w:pPr>
                    <w:pStyle w:val="57"/>
                    <w:rPr>
                      <w:color w:val="auto"/>
                    </w:rPr>
                  </w:pPr>
                  <w:r>
                    <w:rPr>
                      <w:rFonts w:hint="eastAsia"/>
                      <w:color w:val="auto"/>
                    </w:rPr>
                    <w:t>1台</w:t>
                  </w:r>
                </w:p>
              </w:tc>
              <w:tc>
                <w:tcPr>
                  <w:tcW w:w="1871" w:type="dxa"/>
                  <w:vAlign w:val="center"/>
                </w:tcPr>
                <w:p>
                  <w:pPr>
                    <w:pStyle w:val="57"/>
                    <w:rPr>
                      <w:color w:val="auto"/>
                    </w:rPr>
                  </w:pPr>
                  <w:r>
                    <w:rPr>
                      <w:color w:val="auto"/>
                    </w:rPr>
                    <w:t>80~90</w:t>
                  </w:r>
                </w:p>
              </w:tc>
            </w:tr>
          </w:tbl>
          <w:p>
            <w:pPr>
              <w:ind w:firstLine="482"/>
              <w:rPr>
                <w:b/>
                <w:color w:val="auto"/>
                <w:szCs w:val="24"/>
              </w:rPr>
            </w:pPr>
            <w:r>
              <w:rPr>
                <w:b/>
                <w:color w:val="auto"/>
              </w:rPr>
              <w:t>4、</w:t>
            </w:r>
            <w:r>
              <w:rPr>
                <w:b/>
                <w:color w:val="auto"/>
                <w:szCs w:val="24"/>
              </w:rPr>
              <w:t>固体废物</w:t>
            </w:r>
          </w:p>
          <w:p>
            <w:pPr>
              <w:ind w:left="17" w:leftChars="7" w:firstLine="480"/>
              <w:rPr>
                <w:color w:val="auto"/>
                <w:szCs w:val="24"/>
              </w:rPr>
            </w:pPr>
            <w:r>
              <w:rPr>
                <w:rFonts w:hint="eastAsia"/>
                <w:color w:val="auto"/>
                <w:szCs w:val="24"/>
              </w:rPr>
              <w:t>（1）员工生活垃圾</w:t>
            </w:r>
          </w:p>
          <w:p>
            <w:pPr>
              <w:ind w:left="17" w:leftChars="7" w:firstLine="480"/>
              <w:rPr>
                <w:color w:val="auto"/>
                <w:szCs w:val="24"/>
              </w:rPr>
            </w:pPr>
            <w:r>
              <w:rPr>
                <w:color w:val="auto"/>
                <w:szCs w:val="24"/>
              </w:rPr>
              <w:t>本工程拟配备员工</w:t>
            </w:r>
            <w:r>
              <w:rPr>
                <w:rFonts w:hint="eastAsia"/>
                <w:color w:val="auto"/>
                <w:szCs w:val="24"/>
                <w:lang w:val="en-US" w:eastAsia="zh-CN"/>
              </w:rPr>
              <w:t>4</w:t>
            </w:r>
            <w:r>
              <w:rPr>
                <w:color w:val="auto"/>
                <w:szCs w:val="24"/>
              </w:rPr>
              <w:t>人，</w:t>
            </w:r>
            <w:r>
              <w:rPr>
                <w:rFonts w:hint="eastAsia"/>
                <w:color w:val="auto"/>
                <w:szCs w:val="24"/>
              </w:rPr>
              <w:t>全部</w:t>
            </w:r>
            <w:r>
              <w:rPr>
                <w:color w:val="auto"/>
                <w:szCs w:val="24"/>
              </w:rPr>
              <w:t>在厂内食宿</w:t>
            </w:r>
            <w:r>
              <w:rPr>
                <w:color w:val="auto"/>
                <w:kern w:val="0"/>
              </w:rPr>
              <w:t>，</w:t>
            </w:r>
            <w:r>
              <w:rPr>
                <w:rFonts w:hint="eastAsia"/>
                <w:color w:val="auto"/>
                <w:szCs w:val="24"/>
              </w:rPr>
              <w:t>年工作365天，</w:t>
            </w:r>
            <w:r>
              <w:rPr>
                <w:color w:val="auto"/>
                <w:kern w:val="0"/>
              </w:rPr>
              <w:t>住宿</w:t>
            </w:r>
            <w:r>
              <w:rPr>
                <w:color w:val="auto"/>
                <w:szCs w:val="24"/>
              </w:rPr>
              <w:t>人员产生的生活垃圾以1kg/（d·人）计，则生活垃圾的产生量为</w:t>
            </w:r>
            <w:r>
              <w:rPr>
                <w:rFonts w:hint="eastAsia"/>
                <w:color w:val="auto"/>
                <w:szCs w:val="24"/>
                <w:lang w:val="en-US" w:eastAsia="zh-CN"/>
              </w:rPr>
              <w:t>1.46</w:t>
            </w:r>
            <w:r>
              <w:rPr>
                <w:color w:val="auto"/>
                <w:szCs w:val="24"/>
              </w:rPr>
              <w:t>t/a</w:t>
            </w:r>
            <w:r>
              <w:rPr>
                <w:rFonts w:hint="eastAsia"/>
                <w:color w:val="auto"/>
                <w:szCs w:val="24"/>
              </w:rPr>
              <w:t>，</w:t>
            </w:r>
            <w:r>
              <w:rPr>
                <w:color w:val="auto"/>
              </w:rPr>
              <w:t>生活垃圾交</w:t>
            </w:r>
            <w:r>
              <w:rPr>
                <w:rFonts w:hint="eastAsia"/>
                <w:color w:val="auto"/>
              </w:rPr>
              <w:t>由</w:t>
            </w:r>
            <w:r>
              <w:rPr>
                <w:color w:val="auto"/>
              </w:rPr>
              <w:t>环卫部门处理。</w:t>
            </w:r>
          </w:p>
          <w:p>
            <w:pPr>
              <w:ind w:firstLine="480"/>
              <w:rPr>
                <w:color w:val="auto"/>
              </w:rPr>
            </w:pPr>
            <w:r>
              <w:rPr>
                <w:rFonts w:hint="eastAsia"/>
                <w:color w:val="auto"/>
              </w:rPr>
              <w:t>（2）</w:t>
            </w:r>
            <w:r>
              <w:rPr>
                <w:rFonts w:hint="eastAsia"/>
                <w:color w:val="auto"/>
                <w:szCs w:val="24"/>
              </w:rPr>
              <w:t>废包装材料</w:t>
            </w:r>
          </w:p>
          <w:p>
            <w:pPr>
              <w:ind w:firstLine="480"/>
              <w:rPr>
                <w:color w:val="auto"/>
              </w:rPr>
            </w:pPr>
            <w:r>
              <w:rPr>
                <w:rFonts w:hint="eastAsia"/>
                <w:color w:val="auto"/>
              </w:rPr>
              <w:t>生产过程中需要加入明矾和次氯酸钠，这两种药剂用包装袋装，根据建设单位提供的资料，本工程废包装材料产生量为0.01t/a，属于一般固废，交由资源回收单位进行回收处理。</w:t>
            </w:r>
          </w:p>
          <w:p>
            <w:pPr>
              <w:ind w:firstLine="480"/>
              <w:rPr>
                <w:color w:val="auto"/>
              </w:rPr>
            </w:pPr>
            <w:r>
              <w:rPr>
                <w:rFonts w:hint="eastAsia"/>
                <w:color w:val="auto"/>
              </w:rPr>
              <w:t>（3）净化过滤池沉渣</w:t>
            </w:r>
          </w:p>
          <w:p>
            <w:pPr>
              <w:ind w:firstLine="480"/>
              <w:rPr>
                <w:color w:val="auto"/>
              </w:rPr>
            </w:pPr>
            <w:r>
              <w:rPr>
                <w:rFonts w:hint="eastAsia"/>
                <w:color w:val="auto"/>
              </w:rPr>
              <w:t>本工程在净化过滤池由于絮凝沉淀工序会产生一定量的沉渣</w:t>
            </w:r>
            <w:r>
              <w:rPr>
                <w:rFonts w:hint="eastAsia"/>
                <w:color w:val="auto"/>
                <w:lang w:eastAsia="zh-CN"/>
              </w:rPr>
              <w:t>，由于八一水库水质较好，经过净化过滤后，沉渣主要成分为树叶</w:t>
            </w:r>
            <w:r>
              <w:rPr>
                <w:rFonts w:ascii="Times New Roman" w:cs="Times New Roman"/>
                <w:color w:val="auto"/>
                <w:kern w:val="0"/>
              </w:rPr>
              <w:t>、树枝等大型悬浮物</w:t>
            </w:r>
            <w:r>
              <w:rPr>
                <w:rFonts w:hint="eastAsia"/>
                <w:color w:val="auto"/>
              </w:rPr>
              <w:t>，根据建设单位提供的资料，净化过滤池沉渣产生量约为</w:t>
            </w:r>
            <w:r>
              <w:rPr>
                <w:rFonts w:hint="eastAsia"/>
                <w:color w:val="auto"/>
                <w:lang w:val="en-US" w:eastAsia="zh-CN"/>
              </w:rPr>
              <w:t>4.5</w:t>
            </w:r>
            <w:r>
              <w:rPr>
                <w:rFonts w:hint="eastAsia"/>
                <w:color w:val="auto"/>
              </w:rPr>
              <w:t>t/a，属于一般固废，交由环卫部门处理。</w:t>
            </w:r>
          </w:p>
          <w:p>
            <w:pPr>
              <w:pStyle w:val="56"/>
              <w:rPr>
                <w:color w:val="auto"/>
              </w:rPr>
            </w:pPr>
            <w:r>
              <w:rPr>
                <w:color w:val="auto"/>
              </w:rPr>
              <w:t>表</w:t>
            </w:r>
            <w:r>
              <w:rPr>
                <w:rFonts w:hint="eastAsia"/>
                <w:color w:val="auto"/>
                <w:lang w:val="en-US" w:eastAsia="zh-CN"/>
              </w:rPr>
              <w:t>5-4</w:t>
            </w:r>
            <w:r>
              <w:rPr>
                <w:color w:val="auto"/>
              </w:rPr>
              <w:t xml:space="preserve">  项目运营期固废情况一览表</w:t>
            </w:r>
          </w:p>
          <w:tbl>
            <w:tblPr>
              <w:tblStyle w:val="39"/>
              <w:tblW w:w="849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701"/>
              <w:gridCol w:w="1417"/>
              <w:gridCol w:w="993"/>
              <w:gridCol w:w="2835"/>
              <w:gridCol w:w="85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vAlign w:val="center"/>
                </w:tcPr>
                <w:p>
                  <w:pPr>
                    <w:pStyle w:val="57"/>
                    <w:rPr>
                      <w:color w:val="auto"/>
                    </w:rPr>
                  </w:pPr>
                  <w:r>
                    <w:rPr>
                      <w:color w:val="auto"/>
                    </w:rPr>
                    <w:t>序号</w:t>
                  </w:r>
                </w:p>
              </w:tc>
              <w:tc>
                <w:tcPr>
                  <w:tcW w:w="1701" w:type="dxa"/>
                  <w:vAlign w:val="center"/>
                </w:tcPr>
                <w:p>
                  <w:pPr>
                    <w:pStyle w:val="57"/>
                    <w:rPr>
                      <w:color w:val="auto"/>
                    </w:rPr>
                  </w:pPr>
                  <w:r>
                    <w:rPr>
                      <w:color w:val="auto"/>
                    </w:rPr>
                    <w:t>固废种类</w:t>
                  </w:r>
                </w:p>
              </w:tc>
              <w:tc>
                <w:tcPr>
                  <w:tcW w:w="1417" w:type="dxa"/>
                  <w:vAlign w:val="center"/>
                </w:tcPr>
                <w:p>
                  <w:pPr>
                    <w:pStyle w:val="57"/>
                    <w:rPr>
                      <w:color w:val="auto"/>
                    </w:rPr>
                  </w:pPr>
                  <w:r>
                    <w:rPr>
                      <w:color w:val="auto"/>
                    </w:rPr>
                    <w:t>性质</w:t>
                  </w:r>
                </w:p>
              </w:tc>
              <w:tc>
                <w:tcPr>
                  <w:tcW w:w="993" w:type="dxa"/>
                  <w:vAlign w:val="center"/>
                </w:tcPr>
                <w:p>
                  <w:pPr>
                    <w:pStyle w:val="57"/>
                    <w:rPr>
                      <w:color w:val="auto"/>
                    </w:rPr>
                  </w:pPr>
                  <w:r>
                    <w:rPr>
                      <w:color w:val="auto"/>
                    </w:rPr>
                    <w:t>产生量</w:t>
                  </w:r>
                </w:p>
              </w:tc>
              <w:tc>
                <w:tcPr>
                  <w:tcW w:w="2835" w:type="dxa"/>
                  <w:vAlign w:val="center"/>
                </w:tcPr>
                <w:p>
                  <w:pPr>
                    <w:pStyle w:val="57"/>
                    <w:rPr>
                      <w:color w:val="auto"/>
                    </w:rPr>
                  </w:pPr>
                  <w:r>
                    <w:rPr>
                      <w:color w:val="auto"/>
                    </w:rPr>
                    <w:t>处理措施</w:t>
                  </w:r>
                </w:p>
              </w:tc>
              <w:tc>
                <w:tcPr>
                  <w:tcW w:w="856" w:type="dxa"/>
                  <w:vAlign w:val="center"/>
                </w:tcPr>
                <w:p>
                  <w:pPr>
                    <w:pStyle w:val="57"/>
                    <w:rPr>
                      <w:color w:val="auto"/>
                    </w:rPr>
                  </w:pPr>
                  <w:r>
                    <w:rPr>
                      <w:color w:val="auto"/>
                    </w:rPr>
                    <w:t>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vAlign w:val="center"/>
                </w:tcPr>
                <w:p>
                  <w:pPr>
                    <w:pStyle w:val="57"/>
                    <w:rPr>
                      <w:color w:val="auto"/>
                    </w:rPr>
                  </w:pPr>
                  <w:r>
                    <w:rPr>
                      <w:color w:val="auto"/>
                    </w:rPr>
                    <w:t>1</w:t>
                  </w:r>
                </w:p>
              </w:tc>
              <w:tc>
                <w:tcPr>
                  <w:tcW w:w="1701" w:type="dxa"/>
                  <w:vAlign w:val="center"/>
                </w:tcPr>
                <w:p>
                  <w:pPr>
                    <w:pStyle w:val="57"/>
                    <w:rPr>
                      <w:color w:val="auto"/>
                    </w:rPr>
                  </w:pPr>
                  <w:r>
                    <w:rPr>
                      <w:color w:val="auto"/>
                    </w:rPr>
                    <w:t>生活垃圾</w:t>
                  </w:r>
                </w:p>
              </w:tc>
              <w:tc>
                <w:tcPr>
                  <w:tcW w:w="1417" w:type="dxa"/>
                  <w:vAlign w:val="center"/>
                </w:tcPr>
                <w:p>
                  <w:pPr>
                    <w:pStyle w:val="57"/>
                    <w:rPr>
                      <w:color w:val="auto"/>
                    </w:rPr>
                  </w:pPr>
                  <w:r>
                    <w:rPr>
                      <w:color w:val="auto"/>
                    </w:rPr>
                    <w:t>一般固废</w:t>
                  </w:r>
                </w:p>
              </w:tc>
              <w:tc>
                <w:tcPr>
                  <w:tcW w:w="993" w:type="dxa"/>
                  <w:vAlign w:val="center"/>
                </w:tcPr>
                <w:p>
                  <w:pPr>
                    <w:pStyle w:val="57"/>
                    <w:rPr>
                      <w:color w:val="auto"/>
                    </w:rPr>
                  </w:pPr>
                  <w:r>
                    <w:rPr>
                      <w:rFonts w:hint="eastAsia"/>
                      <w:color w:val="auto"/>
                      <w:lang w:val="en-US" w:eastAsia="zh-CN"/>
                    </w:rPr>
                    <w:t>1.46</w:t>
                  </w:r>
                  <w:r>
                    <w:rPr>
                      <w:color w:val="auto"/>
                    </w:rPr>
                    <w:t>t/a</w:t>
                  </w:r>
                </w:p>
              </w:tc>
              <w:tc>
                <w:tcPr>
                  <w:tcW w:w="2835" w:type="dxa"/>
                  <w:vAlign w:val="center"/>
                </w:tcPr>
                <w:p>
                  <w:pPr>
                    <w:pStyle w:val="57"/>
                    <w:rPr>
                      <w:color w:val="auto"/>
                    </w:rPr>
                  </w:pPr>
                  <w:r>
                    <w:rPr>
                      <w:color w:val="auto"/>
                    </w:rPr>
                    <w:t>环卫部门处理</w:t>
                  </w:r>
                </w:p>
              </w:tc>
              <w:tc>
                <w:tcPr>
                  <w:tcW w:w="856" w:type="dxa"/>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vAlign w:val="center"/>
                </w:tcPr>
                <w:p>
                  <w:pPr>
                    <w:pStyle w:val="57"/>
                    <w:rPr>
                      <w:color w:val="auto"/>
                    </w:rPr>
                  </w:pPr>
                  <w:r>
                    <w:rPr>
                      <w:color w:val="auto"/>
                    </w:rPr>
                    <w:t>2</w:t>
                  </w:r>
                </w:p>
              </w:tc>
              <w:tc>
                <w:tcPr>
                  <w:tcW w:w="1701" w:type="dxa"/>
                  <w:vAlign w:val="center"/>
                </w:tcPr>
                <w:p>
                  <w:pPr>
                    <w:pStyle w:val="57"/>
                    <w:rPr>
                      <w:color w:val="auto"/>
                    </w:rPr>
                  </w:pPr>
                  <w:r>
                    <w:rPr>
                      <w:rFonts w:hint="eastAsia"/>
                      <w:color w:val="auto"/>
                      <w:szCs w:val="24"/>
                    </w:rPr>
                    <w:t>废包装材料</w:t>
                  </w:r>
                </w:p>
              </w:tc>
              <w:tc>
                <w:tcPr>
                  <w:tcW w:w="1417" w:type="dxa"/>
                  <w:vAlign w:val="center"/>
                </w:tcPr>
                <w:p>
                  <w:pPr>
                    <w:pStyle w:val="57"/>
                    <w:rPr>
                      <w:color w:val="auto"/>
                    </w:rPr>
                  </w:pPr>
                  <w:r>
                    <w:rPr>
                      <w:color w:val="auto"/>
                    </w:rPr>
                    <w:t>一般固废</w:t>
                  </w:r>
                </w:p>
              </w:tc>
              <w:tc>
                <w:tcPr>
                  <w:tcW w:w="993" w:type="dxa"/>
                  <w:vAlign w:val="center"/>
                </w:tcPr>
                <w:p>
                  <w:pPr>
                    <w:pStyle w:val="57"/>
                    <w:rPr>
                      <w:color w:val="auto"/>
                    </w:rPr>
                  </w:pPr>
                  <w:r>
                    <w:rPr>
                      <w:rFonts w:hint="eastAsia"/>
                      <w:color w:val="auto"/>
                    </w:rPr>
                    <w:t>0.01t</w:t>
                  </w:r>
                  <w:r>
                    <w:rPr>
                      <w:color w:val="auto"/>
                    </w:rPr>
                    <w:t>/a</w:t>
                  </w:r>
                </w:p>
              </w:tc>
              <w:tc>
                <w:tcPr>
                  <w:tcW w:w="2835" w:type="dxa"/>
                  <w:vAlign w:val="center"/>
                </w:tcPr>
                <w:p>
                  <w:pPr>
                    <w:pStyle w:val="57"/>
                    <w:rPr>
                      <w:color w:val="auto"/>
                    </w:rPr>
                  </w:pPr>
                  <w:r>
                    <w:rPr>
                      <w:rFonts w:hint="eastAsia"/>
                      <w:color w:val="auto"/>
                    </w:rPr>
                    <w:t>资源回收单位进行回收处理</w:t>
                  </w:r>
                </w:p>
              </w:tc>
              <w:tc>
                <w:tcPr>
                  <w:tcW w:w="856" w:type="dxa"/>
                  <w:vAlign w:val="center"/>
                </w:tcPr>
                <w:p>
                  <w:pPr>
                    <w:pStyle w:val="57"/>
                    <w:rPr>
                      <w:color w:val="auto"/>
                    </w:rPr>
                  </w:pPr>
                  <w:r>
                    <w:rPr>
                      <w:color w:val="auto"/>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92" w:type="dxa"/>
                  <w:vAlign w:val="center"/>
                </w:tcPr>
                <w:p>
                  <w:pPr>
                    <w:pStyle w:val="57"/>
                    <w:rPr>
                      <w:color w:val="auto"/>
                    </w:rPr>
                  </w:pPr>
                  <w:r>
                    <w:rPr>
                      <w:color w:val="auto"/>
                    </w:rPr>
                    <w:t>3</w:t>
                  </w:r>
                </w:p>
              </w:tc>
              <w:tc>
                <w:tcPr>
                  <w:tcW w:w="1701" w:type="dxa"/>
                  <w:vAlign w:val="center"/>
                </w:tcPr>
                <w:p>
                  <w:pPr>
                    <w:pStyle w:val="57"/>
                    <w:rPr>
                      <w:color w:val="auto"/>
                    </w:rPr>
                  </w:pPr>
                  <w:r>
                    <w:rPr>
                      <w:rFonts w:hint="eastAsia"/>
                      <w:color w:val="auto"/>
                    </w:rPr>
                    <w:t>净化过滤池沉渣</w:t>
                  </w:r>
                </w:p>
              </w:tc>
              <w:tc>
                <w:tcPr>
                  <w:tcW w:w="1417" w:type="dxa"/>
                  <w:vAlign w:val="center"/>
                </w:tcPr>
                <w:p>
                  <w:pPr>
                    <w:pStyle w:val="57"/>
                    <w:rPr>
                      <w:color w:val="auto"/>
                    </w:rPr>
                  </w:pPr>
                  <w:r>
                    <w:rPr>
                      <w:color w:val="auto"/>
                    </w:rPr>
                    <w:t>一般固废</w:t>
                  </w:r>
                </w:p>
              </w:tc>
              <w:tc>
                <w:tcPr>
                  <w:tcW w:w="993" w:type="dxa"/>
                  <w:vAlign w:val="center"/>
                </w:tcPr>
                <w:p>
                  <w:pPr>
                    <w:pStyle w:val="57"/>
                    <w:rPr>
                      <w:color w:val="auto"/>
                    </w:rPr>
                  </w:pPr>
                  <w:r>
                    <w:rPr>
                      <w:rFonts w:hint="eastAsia"/>
                      <w:color w:val="auto"/>
                      <w:lang w:val="en-US" w:eastAsia="zh-CN"/>
                    </w:rPr>
                    <w:t>4.5</w:t>
                  </w:r>
                  <w:r>
                    <w:rPr>
                      <w:color w:val="auto"/>
                    </w:rPr>
                    <w:t>t/a</w:t>
                  </w:r>
                </w:p>
              </w:tc>
              <w:tc>
                <w:tcPr>
                  <w:tcW w:w="2835" w:type="dxa"/>
                  <w:vAlign w:val="center"/>
                </w:tcPr>
                <w:p>
                  <w:pPr>
                    <w:pStyle w:val="57"/>
                    <w:rPr>
                      <w:color w:val="auto"/>
                    </w:rPr>
                  </w:pPr>
                  <w:r>
                    <w:rPr>
                      <w:rFonts w:hint="eastAsia"/>
                      <w:color w:val="auto"/>
                    </w:rPr>
                    <w:t>环卫部门处理</w:t>
                  </w:r>
                </w:p>
              </w:tc>
              <w:tc>
                <w:tcPr>
                  <w:tcW w:w="856" w:type="dxa"/>
                  <w:vAlign w:val="center"/>
                </w:tcPr>
                <w:p>
                  <w:pPr>
                    <w:pStyle w:val="57"/>
                    <w:rPr>
                      <w:color w:val="auto"/>
                    </w:rPr>
                  </w:pPr>
                  <w:r>
                    <w:rPr>
                      <w:color w:val="auto"/>
                    </w:rPr>
                    <w:t>0</w:t>
                  </w:r>
                </w:p>
              </w:tc>
            </w:tr>
          </w:tbl>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tc>
      </w:tr>
    </w:tbl>
    <w:p>
      <w:pPr>
        <w:ind w:firstLine="480"/>
        <w:rPr>
          <w:color w:val="auto"/>
          <w:sz w:val="28"/>
          <w:szCs w:val="32"/>
        </w:rPr>
      </w:pPr>
      <w:r>
        <w:rPr>
          <w:color w:val="auto"/>
        </w:rPr>
        <w:br w:type="page"/>
      </w:r>
    </w:p>
    <w:p>
      <w:pPr>
        <w:pStyle w:val="36"/>
        <w:topLinePunct/>
        <w:rPr>
          <w:color w:val="auto"/>
        </w:rPr>
      </w:pPr>
      <w:r>
        <w:rPr>
          <w:color w:val="auto"/>
        </w:rPr>
        <w:t>工程主要污染物产生及预计排放情况</w:t>
      </w:r>
    </w:p>
    <w:tbl>
      <w:tblPr>
        <w:tblStyle w:val="39"/>
        <w:tblW w:w="8871"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96"/>
        <w:gridCol w:w="1010"/>
        <w:gridCol w:w="1158"/>
        <w:gridCol w:w="1879"/>
        <w:gridCol w:w="1879"/>
        <w:gridCol w:w="21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tcBorders>
              <w:top w:val="single" w:color="auto" w:sz="12" w:space="0"/>
              <w:left w:val="single" w:color="auto" w:sz="12" w:space="0"/>
              <w:bottom w:val="single" w:color="auto" w:sz="4" w:space="0"/>
              <w:right w:val="single" w:color="auto" w:sz="4" w:space="0"/>
              <w:tl2br w:val="single" w:color="auto" w:sz="4" w:space="0"/>
            </w:tcBorders>
          </w:tcPr>
          <w:p>
            <w:pPr>
              <w:pStyle w:val="57"/>
              <w:rPr>
                <w:color w:val="auto"/>
                <w:sz w:val="24"/>
                <w:szCs w:val="24"/>
              </w:rPr>
            </w:pPr>
            <w:r>
              <w:rPr>
                <w:rFonts w:hint="eastAsia"/>
                <w:color w:val="auto"/>
                <w:sz w:val="24"/>
                <w:szCs w:val="24"/>
              </w:rPr>
              <w:t xml:space="preserve"> </w:t>
            </w:r>
            <w:r>
              <w:rPr>
                <w:color w:val="auto"/>
                <w:sz w:val="24"/>
                <w:szCs w:val="24"/>
              </w:rPr>
              <w:t>内容</w:t>
            </w:r>
          </w:p>
          <w:p>
            <w:pPr>
              <w:pStyle w:val="57"/>
              <w:rPr>
                <w:color w:val="auto"/>
                <w:sz w:val="24"/>
                <w:szCs w:val="24"/>
              </w:rPr>
            </w:pPr>
            <w:r>
              <w:rPr>
                <w:color w:val="auto"/>
                <w:sz w:val="24"/>
                <w:szCs w:val="24"/>
              </w:rPr>
              <w:t>类型</w:t>
            </w:r>
          </w:p>
        </w:tc>
        <w:tc>
          <w:tcPr>
            <w:tcW w:w="2168" w:type="dxa"/>
            <w:gridSpan w:val="2"/>
            <w:tcBorders>
              <w:top w:val="single" w:color="auto" w:sz="12"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排放源</w:t>
            </w:r>
          </w:p>
        </w:tc>
        <w:tc>
          <w:tcPr>
            <w:tcW w:w="1879" w:type="dxa"/>
            <w:tcBorders>
              <w:top w:val="single" w:color="auto" w:sz="12"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污染物名称</w:t>
            </w:r>
          </w:p>
        </w:tc>
        <w:tc>
          <w:tcPr>
            <w:tcW w:w="1879" w:type="dxa"/>
            <w:tcBorders>
              <w:top w:val="single" w:color="auto" w:sz="12"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处理前产生浓度及产生量</w:t>
            </w:r>
          </w:p>
        </w:tc>
        <w:tc>
          <w:tcPr>
            <w:tcW w:w="2149" w:type="dxa"/>
            <w:tcBorders>
              <w:top w:val="single" w:color="auto" w:sz="12" w:space="0"/>
              <w:left w:val="single" w:color="auto" w:sz="4" w:space="0"/>
              <w:bottom w:val="single" w:color="auto" w:sz="4" w:space="0"/>
              <w:right w:val="single" w:color="auto" w:sz="12" w:space="0"/>
            </w:tcBorders>
            <w:vAlign w:val="center"/>
          </w:tcPr>
          <w:p>
            <w:pPr>
              <w:pStyle w:val="57"/>
              <w:rPr>
                <w:color w:val="auto"/>
                <w:sz w:val="24"/>
                <w:szCs w:val="24"/>
              </w:rPr>
            </w:pPr>
            <w:r>
              <w:rPr>
                <w:color w:val="auto"/>
                <w:sz w:val="24"/>
                <w:szCs w:val="24"/>
              </w:rPr>
              <w:t>处理后排放浓度及</w:t>
            </w:r>
          </w:p>
          <w:p>
            <w:pPr>
              <w:pStyle w:val="57"/>
              <w:rPr>
                <w:color w:val="auto"/>
                <w:sz w:val="24"/>
                <w:szCs w:val="24"/>
              </w:rPr>
            </w:pPr>
            <w:r>
              <w:rPr>
                <w:color w:val="auto"/>
                <w:sz w:val="24"/>
                <w:szCs w:val="24"/>
              </w:rPr>
              <w:t>排放量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restart"/>
            <w:tcBorders>
              <w:left w:val="single" w:color="auto" w:sz="12" w:space="0"/>
              <w:right w:val="single" w:color="auto" w:sz="4" w:space="0"/>
            </w:tcBorders>
            <w:vAlign w:val="center"/>
          </w:tcPr>
          <w:p>
            <w:pPr>
              <w:pStyle w:val="57"/>
              <w:rPr>
                <w:color w:val="auto"/>
                <w:sz w:val="24"/>
                <w:szCs w:val="24"/>
              </w:rPr>
            </w:pPr>
            <w:r>
              <w:rPr>
                <w:rFonts w:hint="eastAsia"/>
                <w:color w:val="auto"/>
                <w:sz w:val="24"/>
                <w:szCs w:val="24"/>
              </w:rPr>
              <w:t>大气污染物</w:t>
            </w:r>
          </w:p>
        </w:tc>
        <w:tc>
          <w:tcPr>
            <w:tcW w:w="1010"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115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施工场地</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扬尘</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少量</w:t>
            </w:r>
          </w:p>
        </w:tc>
        <w:tc>
          <w:tcPr>
            <w:tcW w:w="2149" w:type="dxa"/>
            <w:tcBorders>
              <w:top w:val="single" w:color="auto" w:sz="4" w:space="0"/>
              <w:left w:val="single" w:color="auto" w:sz="4" w:space="0"/>
              <w:right w:val="single" w:color="auto" w:sz="12" w:space="0"/>
            </w:tcBorders>
            <w:vAlign w:val="center"/>
          </w:tcPr>
          <w:p>
            <w:pPr>
              <w:pStyle w:val="57"/>
              <w:rPr>
                <w:color w:val="auto"/>
                <w:sz w:val="24"/>
                <w:szCs w:val="24"/>
              </w:rPr>
            </w:pPr>
            <w:r>
              <w:rPr>
                <w:rFonts w:hint="eastAsia"/>
                <w:color w:val="auto"/>
                <w:sz w:val="24"/>
                <w:szCs w:val="24"/>
              </w:rPr>
              <w:t>少量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115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机械废气</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CO、NOx、SO</w:t>
            </w:r>
            <w:r>
              <w:rPr>
                <w:rFonts w:hint="eastAsia"/>
                <w:color w:val="auto"/>
                <w:sz w:val="24"/>
                <w:szCs w:val="24"/>
                <w:vertAlign w:val="subscript"/>
              </w:rPr>
              <w:t>2</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少量</w:t>
            </w:r>
          </w:p>
        </w:tc>
        <w:tc>
          <w:tcPr>
            <w:tcW w:w="2149" w:type="dxa"/>
            <w:tcBorders>
              <w:top w:val="single" w:color="auto" w:sz="4" w:space="0"/>
              <w:left w:val="single" w:color="auto" w:sz="4" w:space="0"/>
              <w:right w:val="single" w:color="auto" w:sz="12" w:space="0"/>
            </w:tcBorders>
            <w:vAlign w:val="center"/>
          </w:tcPr>
          <w:p>
            <w:pPr>
              <w:pStyle w:val="57"/>
              <w:rPr>
                <w:color w:val="auto"/>
                <w:sz w:val="24"/>
                <w:szCs w:val="24"/>
              </w:rPr>
            </w:pPr>
            <w:r>
              <w:rPr>
                <w:rFonts w:hint="eastAsia"/>
                <w:color w:val="auto"/>
                <w:sz w:val="24"/>
                <w:szCs w:val="24"/>
              </w:rPr>
              <w:t>少量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1158" w:type="dxa"/>
            <w:tcBorders>
              <w:top w:val="single" w:color="auto" w:sz="4" w:space="0"/>
              <w:left w:val="single" w:color="auto" w:sz="4" w:space="0"/>
              <w:right w:val="single" w:color="auto" w:sz="4" w:space="0"/>
            </w:tcBorders>
            <w:vAlign w:val="center"/>
          </w:tcPr>
          <w:p>
            <w:pPr>
              <w:pStyle w:val="57"/>
              <w:ind w:firstLine="0" w:firstLineChars="0"/>
              <w:rPr>
                <w:color w:val="auto"/>
                <w:sz w:val="24"/>
                <w:szCs w:val="24"/>
              </w:rPr>
            </w:pPr>
            <w:r>
              <w:rPr>
                <w:rFonts w:hint="eastAsia"/>
                <w:color w:val="auto"/>
                <w:sz w:val="24"/>
                <w:szCs w:val="24"/>
              </w:rPr>
              <w:t>食堂油烟</w:t>
            </w:r>
          </w:p>
        </w:tc>
        <w:tc>
          <w:tcPr>
            <w:tcW w:w="1879" w:type="dxa"/>
            <w:tcBorders>
              <w:top w:val="single" w:color="auto" w:sz="4" w:space="0"/>
              <w:left w:val="single" w:color="auto" w:sz="4" w:space="0"/>
              <w:right w:val="single" w:color="auto" w:sz="4" w:space="0"/>
            </w:tcBorders>
            <w:vAlign w:val="center"/>
          </w:tcPr>
          <w:p>
            <w:pPr>
              <w:pStyle w:val="57"/>
              <w:ind w:firstLine="0" w:firstLineChars="0"/>
              <w:rPr>
                <w:color w:val="auto"/>
                <w:sz w:val="24"/>
                <w:szCs w:val="24"/>
              </w:rPr>
            </w:pPr>
            <w:r>
              <w:rPr>
                <w:rFonts w:hint="eastAsia"/>
                <w:color w:val="auto"/>
                <w:sz w:val="24"/>
                <w:szCs w:val="24"/>
              </w:rPr>
              <w:t>油烟</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lang w:val="en-US" w:eastAsia="zh-CN"/>
              </w:rPr>
              <w:t>1.314</w:t>
            </w:r>
            <w:r>
              <w:rPr>
                <w:rFonts w:hint="eastAsia"/>
                <w:color w:val="auto"/>
                <w:sz w:val="24"/>
                <w:szCs w:val="24"/>
              </w:rPr>
              <w:t>kg/a</w:t>
            </w:r>
          </w:p>
          <w:p>
            <w:pPr>
              <w:pStyle w:val="57"/>
              <w:ind w:firstLine="0" w:firstLineChars="0"/>
              <w:rPr>
                <w:color w:val="auto"/>
                <w:sz w:val="24"/>
                <w:szCs w:val="24"/>
              </w:rPr>
            </w:pPr>
            <w:r>
              <w:rPr>
                <w:rFonts w:hint="eastAsia"/>
                <w:color w:val="auto"/>
                <w:sz w:val="24"/>
                <w:szCs w:val="24"/>
                <w:lang w:val="en-US" w:eastAsia="zh-CN"/>
              </w:rPr>
              <w:t>0.365</w:t>
            </w:r>
            <w:r>
              <w:rPr>
                <w:rFonts w:hint="eastAsia"/>
                <w:color w:val="auto"/>
                <w:sz w:val="24"/>
                <w:szCs w:val="24"/>
              </w:rPr>
              <w:t>mg/m³</w:t>
            </w:r>
          </w:p>
        </w:tc>
        <w:tc>
          <w:tcPr>
            <w:tcW w:w="2149" w:type="dxa"/>
            <w:tcBorders>
              <w:top w:val="single" w:color="auto" w:sz="4" w:space="0"/>
              <w:left w:val="single" w:color="auto" w:sz="4" w:space="0"/>
              <w:right w:val="single" w:color="auto" w:sz="12" w:space="0"/>
            </w:tcBorders>
            <w:vAlign w:val="center"/>
          </w:tcPr>
          <w:p>
            <w:pPr>
              <w:pStyle w:val="57"/>
              <w:rPr>
                <w:color w:val="auto"/>
                <w:sz w:val="24"/>
                <w:szCs w:val="24"/>
              </w:rPr>
            </w:pPr>
            <w:r>
              <w:rPr>
                <w:rFonts w:hint="eastAsia"/>
                <w:color w:val="auto"/>
                <w:sz w:val="24"/>
                <w:szCs w:val="24"/>
                <w:lang w:val="en-US" w:eastAsia="zh-CN"/>
              </w:rPr>
              <w:t>0.526</w:t>
            </w:r>
            <w:r>
              <w:rPr>
                <w:rFonts w:hint="eastAsia"/>
                <w:color w:val="auto"/>
                <w:sz w:val="24"/>
                <w:szCs w:val="24"/>
              </w:rPr>
              <w:t>kg/a</w:t>
            </w:r>
          </w:p>
          <w:p>
            <w:pPr>
              <w:pStyle w:val="57"/>
              <w:ind w:firstLine="0" w:firstLineChars="0"/>
              <w:rPr>
                <w:color w:val="auto"/>
                <w:sz w:val="24"/>
                <w:szCs w:val="24"/>
              </w:rPr>
            </w:pPr>
            <w:r>
              <w:rPr>
                <w:rFonts w:hint="eastAsia"/>
                <w:color w:val="auto"/>
                <w:sz w:val="24"/>
                <w:szCs w:val="24"/>
              </w:rPr>
              <w:t>0.</w:t>
            </w:r>
            <w:r>
              <w:rPr>
                <w:rFonts w:hint="eastAsia"/>
                <w:color w:val="auto"/>
                <w:sz w:val="24"/>
                <w:szCs w:val="24"/>
                <w:lang w:val="en-US" w:eastAsia="zh-CN"/>
              </w:rPr>
              <w:t>146</w:t>
            </w:r>
            <w:r>
              <w:rPr>
                <w:rFonts w:hint="eastAsia"/>
                <w:color w:val="auto"/>
                <w:sz w:val="24"/>
                <w:szCs w:val="24"/>
              </w:rPr>
              <w:t>mg/m³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restart"/>
            <w:tcBorders>
              <w:left w:val="single" w:color="auto" w:sz="12" w:space="0"/>
              <w:right w:val="single" w:color="auto" w:sz="4" w:space="0"/>
            </w:tcBorders>
            <w:vAlign w:val="center"/>
          </w:tcPr>
          <w:p>
            <w:pPr>
              <w:pStyle w:val="57"/>
              <w:rPr>
                <w:color w:val="auto"/>
                <w:sz w:val="24"/>
                <w:szCs w:val="24"/>
              </w:rPr>
            </w:pPr>
            <w:r>
              <w:rPr>
                <w:color w:val="auto"/>
                <w:sz w:val="24"/>
                <w:szCs w:val="24"/>
              </w:rPr>
              <w:t>水污</w:t>
            </w:r>
          </w:p>
          <w:p>
            <w:pPr>
              <w:pStyle w:val="57"/>
              <w:rPr>
                <w:color w:val="auto"/>
                <w:sz w:val="24"/>
                <w:szCs w:val="24"/>
              </w:rPr>
            </w:pPr>
            <w:r>
              <w:rPr>
                <w:color w:val="auto"/>
                <w:sz w:val="24"/>
                <w:szCs w:val="24"/>
              </w:rPr>
              <w:t>染物</w:t>
            </w:r>
          </w:p>
        </w:tc>
        <w:tc>
          <w:tcPr>
            <w:tcW w:w="1010" w:type="dxa"/>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115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施工废水</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SS、石油类</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少量</w:t>
            </w:r>
          </w:p>
        </w:tc>
        <w:tc>
          <w:tcPr>
            <w:tcW w:w="2149" w:type="dxa"/>
            <w:tcBorders>
              <w:top w:val="single" w:color="auto" w:sz="4" w:space="0"/>
              <w:left w:val="single" w:color="auto" w:sz="4" w:space="0"/>
              <w:right w:val="single" w:color="auto" w:sz="12" w:space="0"/>
            </w:tcBorders>
            <w:vAlign w:val="center"/>
          </w:tcPr>
          <w:p>
            <w:pPr>
              <w:pStyle w:val="57"/>
              <w:rPr>
                <w:color w:val="auto"/>
                <w:sz w:val="24"/>
                <w:szCs w:val="24"/>
              </w:rPr>
            </w:pPr>
            <w:r>
              <w:rPr>
                <w:rFonts w:hint="eastAsia"/>
                <w:color w:val="auto"/>
                <w:sz w:val="24"/>
                <w:szCs w:val="24"/>
              </w:rPr>
              <w:t>沉砂池沉淀后回用，不外排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1158" w:type="dxa"/>
            <w:vMerge w:val="restart"/>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生活污水</w:t>
            </w:r>
          </w:p>
          <w:p>
            <w:pPr>
              <w:pStyle w:val="57"/>
              <w:rPr>
                <w:color w:val="auto"/>
                <w:sz w:val="24"/>
                <w:szCs w:val="24"/>
              </w:rPr>
            </w:pPr>
            <w:r>
              <w:rPr>
                <w:rFonts w:hint="eastAsia"/>
                <w:color w:val="auto"/>
                <w:sz w:val="24"/>
                <w:szCs w:val="24"/>
              </w:rPr>
              <w:t>（</w:t>
            </w:r>
            <w:r>
              <w:rPr>
                <w:rFonts w:hint="eastAsia"/>
                <w:color w:val="auto"/>
                <w:sz w:val="24"/>
                <w:szCs w:val="24"/>
                <w:lang w:val="en-US" w:eastAsia="zh-CN"/>
              </w:rPr>
              <w:t>93.44</w:t>
            </w:r>
            <w:r>
              <w:rPr>
                <w:rFonts w:hint="eastAsia"/>
                <w:color w:val="auto"/>
                <w:sz w:val="24"/>
                <w:szCs w:val="24"/>
              </w:rPr>
              <w:t>t/a）</w:t>
            </w: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COD</w:t>
            </w:r>
            <w:r>
              <w:rPr>
                <w:rFonts w:hint="eastAsia"/>
                <w:color w:val="auto"/>
                <w:sz w:val="24"/>
                <w:szCs w:val="24"/>
                <w:vertAlign w:val="subscript"/>
              </w:rPr>
              <w:t>cr</w:t>
            </w:r>
          </w:p>
        </w:tc>
        <w:tc>
          <w:tcPr>
            <w:tcW w:w="1879" w:type="dxa"/>
            <w:tcBorders>
              <w:top w:val="single" w:color="auto" w:sz="4" w:space="0"/>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sz w:val="24"/>
                <w:szCs w:val="24"/>
              </w:rPr>
            </w:pPr>
            <w:r>
              <w:rPr>
                <w:rFonts w:hint="default" w:ascii="Times New Roman" w:hAnsi="Times New Roman" w:eastAsia="宋体" w:cs="Times New Roman"/>
                <w:i w:val="0"/>
                <w:color w:val="auto"/>
                <w:kern w:val="0"/>
                <w:sz w:val="24"/>
                <w:szCs w:val="24"/>
                <w:u w:val="none"/>
                <w:lang w:val="en-US" w:eastAsia="zh-CN" w:bidi="ar"/>
              </w:rPr>
              <w:t>0.0512</w:t>
            </w:r>
            <w:r>
              <w:rPr>
                <w:rFonts w:hint="eastAsia"/>
                <w:color w:val="auto"/>
                <w:lang w:val="en-US" w:eastAsia="zh-CN"/>
              </w:rPr>
              <w:t>t/a</w:t>
            </w:r>
          </w:p>
        </w:tc>
        <w:tc>
          <w:tcPr>
            <w:tcW w:w="2149" w:type="dxa"/>
            <w:vMerge w:val="restart"/>
            <w:tcBorders>
              <w:top w:val="single" w:color="auto" w:sz="4" w:space="0"/>
              <w:left w:val="single" w:color="auto" w:sz="4" w:space="0"/>
              <w:right w:val="single" w:color="auto" w:sz="12" w:space="0"/>
            </w:tcBorders>
            <w:vAlign w:val="center"/>
          </w:tcPr>
          <w:p>
            <w:pPr>
              <w:pStyle w:val="57"/>
              <w:rPr>
                <w:rFonts w:hint="eastAsia" w:eastAsia="宋体"/>
                <w:color w:val="auto"/>
                <w:sz w:val="24"/>
                <w:szCs w:val="24"/>
                <w:lang w:eastAsia="zh-CN"/>
              </w:rPr>
            </w:pPr>
            <w:r>
              <w:rPr>
                <w:rFonts w:hint="eastAsia"/>
                <w:color w:val="auto"/>
                <w:sz w:val="24"/>
                <w:szCs w:val="24"/>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1158" w:type="dxa"/>
            <w:vMerge w:val="continue"/>
            <w:tcBorders>
              <w:left w:val="single" w:color="auto" w:sz="4" w:space="0"/>
              <w:right w:val="single" w:color="auto" w:sz="4" w:space="0"/>
            </w:tcBorders>
            <w:vAlign w:val="center"/>
          </w:tcPr>
          <w:p>
            <w:pPr>
              <w:pStyle w:val="57"/>
              <w:rPr>
                <w:color w:val="auto"/>
                <w:sz w:val="24"/>
                <w:szCs w:val="24"/>
              </w:rPr>
            </w:pP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BOD</w:t>
            </w:r>
            <w:r>
              <w:rPr>
                <w:rFonts w:hint="eastAsia"/>
                <w:color w:val="auto"/>
                <w:sz w:val="24"/>
                <w:szCs w:val="24"/>
                <w:vertAlign w:val="subscript"/>
              </w:rPr>
              <w:t>5</w:t>
            </w:r>
          </w:p>
        </w:tc>
        <w:tc>
          <w:tcPr>
            <w:tcW w:w="1879" w:type="dxa"/>
            <w:tcBorders>
              <w:top w:val="single" w:color="auto" w:sz="4" w:space="0"/>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sz w:val="24"/>
                <w:szCs w:val="24"/>
              </w:rPr>
            </w:pPr>
            <w:r>
              <w:rPr>
                <w:rFonts w:hint="default" w:ascii="Times New Roman" w:hAnsi="Times New Roman" w:eastAsia="宋体" w:cs="Times New Roman"/>
                <w:i w:val="0"/>
                <w:color w:val="auto"/>
                <w:kern w:val="0"/>
                <w:sz w:val="24"/>
                <w:szCs w:val="24"/>
                <w:u w:val="none"/>
                <w:lang w:val="en-US" w:eastAsia="zh-CN" w:bidi="ar"/>
              </w:rPr>
              <w:t>0.0256</w:t>
            </w:r>
            <w:r>
              <w:rPr>
                <w:rFonts w:hint="eastAsia"/>
                <w:color w:val="auto"/>
                <w:lang w:val="en-US" w:eastAsia="zh-CN"/>
              </w:rPr>
              <w:t>t/a</w:t>
            </w:r>
          </w:p>
        </w:tc>
        <w:tc>
          <w:tcPr>
            <w:tcW w:w="2149" w:type="dxa"/>
            <w:vMerge w:val="continue"/>
            <w:tcBorders>
              <w:left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1158" w:type="dxa"/>
            <w:vMerge w:val="continue"/>
            <w:tcBorders>
              <w:left w:val="single" w:color="auto" w:sz="4" w:space="0"/>
              <w:right w:val="single" w:color="auto" w:sz="4" w:space="0"/>
            </w:tcBorders>
            <w:vAlign w:val="center"/>
          </w:tcPr>
          <w:p>
            <w:pPr>
              <w:pStyle w:val="57"/>
              <w:rPr>
                <w:color w:val="auto"/>
                <w:sz w:val="24"/>
                <w:szCs w:val="24"/>
              </w:rPr>
            </w:pP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SS</w:t>
            </w:r>
          </w:p>
        </w:tc>
        <w:tc>
          <w:tcPr>
            <w:tcW w:w="1879" w:type="dxa"/>
            <w:tcBorders>
              <w:top w:val="single" w:color="auto" w:sz="4" w:space="0"/>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sz w:val="24"/>
                <w:szCs w:val="24"/>
              </w:rPr>
            </w:pPr>
            <w:r>
              <w:rPr>
                <w:rFonts w:hint="default" w:ascii="Times New Roman" w:hAnsi="Times New Roman" w:eastAsia="宋体" w:cs="Times New Roman"/>
                <w:i w:val="0"/>
                <w:color w:val="auto"/>
                <w:kern w:val="0"/>
                <w:sz w:val="24"/>
                <w:szCs w:val="24"/>
                <w:u w:val="none"/>
                <w:lang w:val="en-US" w:eastAsia="zh-CN" w:bidi="ar"/>
              </w:rPr>
              <w:t>0.0256</w:t>
            </w:r>
            <w:r>
              <w:rPr>
                <w:rFonts w:hint="eastAsia"/>
                <w:color w:val="auto"/>
                <w:lang w:val="en-US" w:eastAsia="zh-CN"/>
              </w:rPr>
              <w:t>t/a</w:t>
            </w:r>
          </w:p>
        </w:tc>
        <w:tc>
          <w:tcPr>
            <w:tcW w:w="2149" w:type="dxa"/>
            <w:vMerge w:val="continue"/>
            <w:tcBorders>
              <w:left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59"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1158" w:type="dxa"/>
            <w:vMerge w:val="continue"/>
            <w:tcBorders>
              <w:left w:val="single" w:color="auto" w:sz="4" w:space="0"/>
              <w:right w:val="single" w:color="auto" w:sz="4" w:space="0"/>
            </w:tcBorders>
            <w:vAlign w:val="center"/>
          </w:tcPr>
          <w:p>
            <w:pPr>
              <w:pStyle w:val="57"/>
              <w:rPr>
                <w:color w:val="auto"/>
                <w:sz w:val="24"/>
                <w:szCs w:val="24"/>
              </w:rPr>
            </w:pPr>
          </w:p>
        </w:tc>
        <w:tc>
          <w:tcPr>
            <w:tcW w:w="187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氨氮</w:t>
            </w:r>
          </w:p>
        </w:tc>
        <w:tc>
          <w:tcPr>
            <w:tcW w:w="1879" w:type="dxa"/>
            <w:tcBorders>
              <w:top w:val="single" w:color="auto" w:sz="4" w:space="0"/>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color w:val="auto"/>
                <w:sz w:val="24"/>
                <w:szCs w:val="24"/>
              </w:rPr>
            </w:pPr>
            <w:r>
              <w:rPr>
                <w:rFonts w:hint="default" w:ascii="Times New Roman" w:hAnsi="Times New Roman" w:eastAsia="宋体" w:cs="Times New Roman"/>
                <w:i w:val="0"/>
                <w:color w:val="auto"/>
                <w:kern w:val="0"/>
                <w:sz w:val="24"/>
                <w:szCs w:val="24"/>
                <w:u w:val="none"/>
                <w:lang w:val="en-US" w:eastAsia="zh-CN" w:bidi="ar"/>
              </w:rPr>
              <w:t>0.0069</w:t>
            </w:r>
            <w:r>
              <w:rPr>
                <w:rFonts w:hint="eastAsia"/>
                <w:color w:val="auto"/>
                <w:lang w:val="en-US" w:eastAsia="zh-CN"/>
              </w:rPr>
              <w:t>t/a</w:t>
            </w:r>
          </w:p>
        </w:tc>
        <w:tc>
          <w:tcPr>
            <w:tcW w:w="2149" w:type="dxa"/>
            <w:vMerge w:val="continue"/>
            <w:tcBorders>
              <w:left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59"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1158" w:type="dxa"/>
            <w:vMerge w:val="continue"/>
            <w:tcBorders>
              <w:left w:val="single" w:color="auto" w:sz="4" w:space="0"/>
              <w:right w:val="single" w:color="auto" w:sz="4" w:space="0"/>
            </w:tcBorders>
            <w:vAlign w:val="center"/>
          </w:tcPr>
          <w:p>
            <w:pPr>
              <w:pStyle w:val="57"/>
              <w:rPr>
                <w:color w:val="auto"/>
                <w:sz w:val="24"/>
                <w:szCs w:val="24"/>
              </w:rPr>
            </w:pPr>
          </w:p>
        </w:tc>
        <w:tc>
          <w:tcPr>
            <w:tcW w:w="1879" w:type="dxa"/>
            <w:tcBorders>
              <w:top w:val="single" w:color="auto" w:sz="4" w:space="0"/>
              <w:left w:val="single" w:color="auto" w:sz="4" w:space="0"/>
              <w:right w:val="single" w:color="auto" w:sz="4" w:space="0"/>
            </w:tcBorders>
            <w:vAlign w:val="center"/>
          </w:tcPr>
          <w:p>
            <w:pPr>
              <w:pStyle w:val="57"/>
              <w:rPr>
                <w:rFonts w:hint="eastAsia" w:eastAsia="宋体"/>
                <w:color w:val="auto"/>
                <w:sz w:val="24"/>
                <w:szCs w:val="24"/>
                <w:lang w:eastAsia="zh-CN"/>
              </w:rPr>
            </w:pPr>
            <w:r>
              <w:rPr>
                <w:rFonts w:hint="eastAsia"/>
                <w:color w:val="auto"/>
                <w:sz w:val="24"/>
                <w:szCs w:val="24"/>
                <w:lang w:eastAsia="zh-CN"/>
              </w:rPr>
              <w:t>动植物油</w:t>
            </w:r>
          </w:p>
        </w:tc>
        <w:tc>
          <w:tcPr>
            <w:tcW w:w="1879" w:type="dxa"/>
            <w:tcBorders>
              <w:top w:val="single" w:color="auto" w:sz="4" w:space="0"/>
              <w:left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cs="Times New Roman"/>
                <w:i w:val="0"/>
                <w:color w:val="auto"/>
                <w:kern w:val="0"/>
                <w:sz w:val="24"/>
                <w:szCs w:val="24"/>
                <w:u w:val="none"/>
                <w:lang w:val="en-US" w:eastAsia="zh-CN" w:bidi="ar"/>
              </w:rPr>
              <w:t>0.0038t/a</w:t>
            </w:r>
          </w:p>
        </w:tc>
        <w:tc>
          <w:tcPr>
            <w:tcW w:w="2149" w:type="dxa"/>
            <w:vMerge w:val="continue"/>
            <w:tcBorders>
              <w:left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restart"/>
            <w:tcBorders>
              <w:left w:val="single" w:color="auto" w:sz="12" w:space="0"/>
              <w:right w:val="single" w:color="auto" w:sz="4" w:space="0"/>
            </w:tcBorders>
            <w:vAlign w:val="center"/>
          </w:tcPr>
          <w:p>
            <w:pPr>
              <w:pStyle w:val="57"/>
              <w:rPr>
                <w:color w:val="auto"/>
                <w:sz w:val="24"/>
                <w:szCs w:val="24"/>
              </w:rPr>
            </w:pPr>
            <w:r>
              <w:rPr>
                <w:color w:val="auto"/>
                <w:sz w:val="24"/>
                <w:szCs w:val="24"/>
              </w:rPr>
              <w:t>固体</w:t>
            </w:r>
          </w:p>
          <w:p>
            <w:pPr>
              <w:pStyle w:val="57"/>
              <w:rPr>
                <w:color w:val="auto"/>
                <w:sz w:val="24"/>
                <w:szCs w:val="24"/>
              </w:rPr>
            </w:pPr>
            <w:r>
              <w:rPr>
                <w:color w:val="auto"/>
                <w:sz w:val="24"/>
                <w:szCs w:val="24"/>
              </w:rPr>
              <w:t>废物</w:t>
            </w:r>
          </w:p>
        </w:tc>
        <w:tc>
          <w:tcPr>
            <w:tcW w:w="1010"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303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工程弃土</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lang w:val="en-US" w:eastAsia="zh-CN"/>
              </w:rPr>
              <w:t>108</w:t>
            </w:r>
            <w:r>
              <w:rPr>
                <w:rFonts w:hint="eastAsia"/>
                <w:color w:val="auto"/>
                <w:sz w:val="24"/>
                <w:szCs w:val="24"/>
              </w:rPr>
              <w:t>00</w:t>
            </w:r>
            <w:r>
              <w:rPr>
                <w:color w:val="auto"/>
                <w:sz w:val="24"/>
                <w:szCs w:val="24"/>
              </w:rPr>
              <w:t>m³</w:t>
            </w:r>
          </w:p>
        </w:tc>
        <w:tc>
          <w:tcPr>
            <w:tcW w:w="2149"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0</w:t>
            </w:r>
            <w:r>
              <w:rPr>
                <w:color w:val="auto"/>
                <w:sz w:val="24"/>
                <w:szCs w:val="24"/>
              </w:rPr>
              <w:t>m³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303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生活垃圾</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0.0</w:t>
            </w:r>
            <w:r>
              <w:rPr>
                <w:rFonts w:hint="eastAsia"/>
                <w:color w:val="auto"/>
                <w:sz w:val="24"/>
                <w:szCs w:val="24"/>
                <w:lang w:val="en-US" w:eastAsia="zh-CN"/>
              </w:rPr>
              <w:t>1</w:t>
            </w:r>
            <w:r>
              <w:rPr>
                <w:rFonts w:hint="eastAsia"/>
                <w:color w:val="auto"/>
                <w:sz w:val="24"/>
                <w:szCs w:val="24"/>
              </w:rPr>
              <w:t>5t/d</w:t>
            </w:r>
          </w:p>
        </w:tc>
        <w:tc>
          <w:tcPr>
            <w:tcW w:w="2149"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0</w:t>
            </w:r>
            <w:r>
              <w:rPr>
                <w:color w:val="auto"/>
                <w:sz w:val="24"/>
                <w:szCs w:val="24"/>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3037" w:type="dxa"/>
            <w:gridSpan w:val="2"/>
            <w:tcBorders>
              <w:left w:val="single" w:color="auto" w:sz="4" w:space="0"/>
              <w:right w:val="single" w:color="auto" w:sz="4" w:space="0"/>
            </w:tcBorders>
            <w:vAlign w:val="center"/>
          </w:tcPr>
          <w:p>
            <w:pPr>
              <w:pStyle w:val="57"/>
              <w:rPr>
                <w:color w:val="auto"/>
                <w:sz w:val="24"/>
                <w:szCs w:val="24"/>
              </w:rPr>
            </w:pPr>
            <w:r>
              <w:rPr>
                <w:color w:val="auto"/>
                <w:sz w:val="24"/>
                <w:szCs w:val="24"/>
              </w:rPr>
              <w:t>生活垃圾</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lang w:val="en-US" w:eastAsia="zh-CN"/>
              </w:rPr>
              <w:t>1.46</w:t>
            </w:r>
            <w:r>
              <w:rPr>
                <w:color w:val="auto"/>
                <w:sz w:val="24"/>
                <w:szCs w:val="24"/>
              </w:rPr>
              <w:t>t/a</w:t>
            </w:r>
          </w:p>
        </w:tc>
        <w:tc>
          <w:tcPr>
            <w:tcW w:w="2149"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0</w:t>
            </w:r>
            <w:r>
              <w:rPr>
                <w:color w:val="auto"/>
                <w:sz w:val="24"/>
                <w:szCs w:val="24"/>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303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废包装材料</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0.01t</w:t>
            </w:r>
            <w:r>
              <w:rPr>
                <w:color w:val="auto"/>
                <w:sz w:val="24"/>
                <w:szCs w:val="24"/>
              </w:rPr>
              <w:t>/a</w:t>
            </w:r>
          </w:p>
        </w:tc>
        <w:tc>
          <w:tcPr>
            <w:tcW w:w="2149"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0t</w:t>
            </w:r>
            <w:r>
              <w:rPr>
                <w:color w:val="auto"/>
                <w:sz w:val="24"/>
                <w:szCs w:val="24"/>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left w:val="single" w:color="auto" w:sz="12" w:space="0"/>
              <w:right w:val="single" w:color="auto" w:sz="4" w:space="0"/>
            </w:tcBorders>
            <w:vAlign w:val="center"/>
          </w:tcPr>
          <w:p>
            <w:pPr>
              <w:pStyle w:val="57"/>
              <w:rPr>
                <w:color w:val="auto"/>
                <w:sz w:val="24"/>
                <w:szCs w:val="24"/>
              </w:rPr>
            </w:pPr>
          </w:p>
        </w:tc>
        <w:tc>
          <w:tcPr>
            <w:tcW w:w="1010" w:type="dxa"/>
            <w:vMerge w:val="continue"/>
            <w:tcBorders>
              <w:left w:val="single" w:color="auto" w:sz="4" w:space="0"/>
              <w:right w:val="single" w:color="auto" w:sz="4" w:space="0"/>
            </w:tcBorders>
            <w:vAlign w:val="center"/>
          </w:tcPr>
          <w:p>
            <w:pPr>
              <w:pStyle w:val="57"/>
              <w:rPr>
                <w:color w:val="auto"/>
                <w:sz w:val="24"/>
                <w:szCs w:val="24"/>
              </w:rPr>
            </w:pPr>
          </w:p>
        </w:tc>
        <w:tc>
          <w:tcPr>
            <w:tcW w:w="303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净化过滤池沉渣</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lang w:val="en-US" w:eastAsia="zh-CN"/>
              </w:rPr>
              <w:t>4.6</w:t>
            </w:r>
            <w:r>
              <w:rPr>
                <w:color w:val="auto"/>
                <w:sz w:val="24"/>
                <w:szCs w:val="24"/>
              </w:rPr>
              <w:t>t/a</w:t>
            </w:r>
          </w:p>
        </w:tc>
        <w:tc>
          <w:tcPr>
            <w:tcW w:w="2149"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0</w:t>
            </w:r>
            <w:r>
              <w:rPr>
                <w:color w:val="auto"/>
                <w:sz w:val="24"/>
                <w:szCs w:val="24"/>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restart"/>
            <w:tcBorders>
              <w:top w:val="single" w:color="auto" w:sz="6" w:space="0"/>
              <w:left w:val="single" w:color="auto" w:sz="12" w:space="0"/>
              <w:bottom w:val="single" w:color="auto" w:sz="4" w:space="0"/>
              <w:right w:val="single" w:color="auto" w:sz="4" w:space="0"/>
            </w:tcBorders>
            <w:vAlign w:val="center"/>
          </w:tcPr>
          <w:p>
            <w:pPr>
              <w:pStyle w:val="57"/>
              <w:rPr>
                <w:color w:val="auto"/>
                <w:sz w:val="24"/>
                <w:szCs w:val="24"/>
              </w:rPr>
            </w:pPr>
            <w:r>
              <w:rPr>
                <w:color w:val="auto"/>
                <w:sz w:val="24"/>
                <w:szCs w:val="24"/>
              </w:rPr>
              <w:t>噪声</w:t>
            </w:r>
          </w:p>
        </w:tc>
        <w:tc>
          <w:tcPr>
            <w:tcW w:w="1010"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1158"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施工机械、车辆</w:t>
            </w:r>
          </w:p>
        </w:tc>
        <w:tc>
          <w:tcPr>
            <w:tcW w:w="1879"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噪声</w:t>
            </w:r>
          </w:p>
        </w:tc>
        <w:tc>
          <w:tcPr>
            <w:tcW w:w="1879"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8</w:t>
            </w:r>
            <w:r>
              <w:rPr>
                <w:color w:val="auto"/>
                <w:sz w:val="24"/>
                <w:szCs w:val="24"/>
              </w:rPr>
              <w:t>8～95dB（A）</w:t>
            </w:r>
          </w:p>
        </w:tc>
        <w:tc>
          <w:tcPr>
            <w:tcW w:w="2149" w:type="dxa"/>
            <w:tcBorders>
              <w:top w:val="single" w:color="auto" w:sz="6"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昼间≤70dB（A）</w:t>
            </w:r>
          </w:p>
          <w:p>
            <w:pPr>
              <w:pStyle w:val="57"/>
              <w:rPr>
                <w:color w:val="auto"/>
                <w:sz w:val="24"/>
                <w:szCs w:val="24"/>
              </w:rPr>
            </w:pPr>
            <w:r>
              <w:rPr>
                <w:rFonts w:hint="eastAsia"/>
                <w:color w:val="auto"/>
                <w:sz w:val="24"/>
                <w:szCs w:val="24"/>
              </w:rPr>
              <w:t>夜间≤55dB（A）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pPr>
              <w:pStyle w:val="57"/>
              <w:rPr>
                <w:color w:val="auto"/>
                <w:sz w:val="24"/>
                <w:szCs w:val="24"/>
              </w:rPr>
            </w:pPr>
          </w:p>
        </w:tc>
        <w:tc>
          <w:tcPr>
            <w:tcW w:w="1010"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1158"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加药泵</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噪声</w:t>
            </w:r>
          </w:p>
        </w:tc>
        <w:tc>
          <w:tcPr>
            <w:tcW w:w="187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80~90dB（A）</w:t>
            </w:r>
          </w:p>
        </w:tc>
        <w:tc>
          <w:tcPr>
            <w:tcW w:w="2149"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昼间≤60dB（A）</w:t>
            </w:r>
          </w:p>
          <w:p>
            <w:pPr>
              <w:pStyle w:val="57"/>
              <w:rPr>
                <w:color w:val="auto"/>
                <w:sz w:val="24"/>
                <w:szCs w:val="24"/>
              </w:rPr>
            </w:pPr>
            <w:r>
              <w:rPr>
                <w:rFonts w:hint="eastAsia"/>
                <w:color w:val="auto"/>
                <w:sz w:val="24"/>
                <w:szCs w:val="24"/>
              </w:rPr>
              <w:t>夜间≤50dB（A）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96" w:type="dxa"/>
            <w:tcBorders>
              <w:top w:val="single" w:color="auto" w:sz="4" w:space="0"/>
              <w:left w:val="single" w:color="auto" w:sz="12" w:space="0"/>
              <w:bottom w:val="single" w:color="auto" w:sz="4" w:space="0"/>
              <w:right w:val="single" w:color="auto" w:sz="4" w:space="0"/>
            </w:tcBorders>
            <w:vAlign w:val="center"/>
          </w:tcPr>
          <w:p>
            <w:pPr>
              <w:pStyle w:val="57"/>
              <w:rPr>
                <w:color w:val="auto"/>
                <w:sz w:val="24"/>
                <w:szCs w:val="24"/>
              </w:rPr>
            </w:pPr>
            <w:r>
              <w:rPr>
                <w:color w:val="auto"/>
                <w:sz w:val="24"/>
                <w:szCs w:val="24"/>
              </w:rPr>
              <w:t>其他</w:t>
            </w:r>
          </w:p>
        </w:tc>
        <w:tc>
          <w:tcPr>
            <w:tcW w:w="8075" w:type="dxa"/>
            <w:gridSpan w:val="5"/>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871" w:type="dxa"/>
            <w:gridSpan w:val="6"/>
            <w:tcBorders>
              <w:top w:val="single" w:color="auto" w:sz="4" w:space="0"/>
              <w:left w:val="single" w:color="auto" w:sz="12" w:space="0"/>
              <w:bottom w:val="single" w:color="auto" w:sz="12" w:space="0"/>
              <w:right w:val="single" w:color="auto" w:sz="12" w:space="0"/>
            </w:tcBorders>
          </w:tcPr>
          <w:p>
            <w:pPr>
              <w:pStyle w:val="57"/>
              <w:spacing w:line="360" w:lineRule="auto"/>
              <w:jc w:val="both"/>
              <w:rPr>
                <w:b/>
                <w:color w:val="auto"/>
                <w:sz w:val="24"/>
                <w:szCs w:val="24"/>
              </w:rPr>
            </w:pPr>
            <w:r>
              <w:rPr>
                <w:b/>
                <w:color w:val="auto"/>
                <w:sz w:val="24"/>
                <w:szCs w:val="24"/>
              </w:rPr>
              <w:t>主要生态影响</w:t>
            </w:r>
          </w:p>
          <w:p>
            <w:pPr>
              <w:ind w:firstLine="480"/>
              <w:rPr>
                <w:rFonts w:hint="eastAsia"/>
                <w:color w:val="auto"/>
                <w:szCs w:val="24"/>
              </w:rPr>
            </w:pPr>
            <w:r>
              <w:rPr>
                <w:rFonts w:hint="eastAsia"/>
                <w:color w:val="auto"/>
                <w:szCs w:val="24"/>
              </w:rPr>
              <w:t>本工程为供水设施建设项目，非禁止建设项目。在施工过程中，</w:t>
            </w:r>
            <w:r>
              <w:rPr>
                <w:rFonts w:hint="eastAsia"/>
                <w:color w:val="auto"/>
                <w:szCs w:val="24"/>
                <w:lang w:eastAsia="zh-CN"/>
              </w:rPr>
              <w:t>新建水厂、新建隧洞和水库的防渗补漏工程</w:t>
            </w:r>
            <w:r>
              <w:rPr>
                <w:rFonts w:hint="eastAsia"/>
                <w:color w:val="auto"/>
                <w:szCs w:val="24"/>
              </w:rPr>
              <w:t>将会</w:t>
            </w:r>
            <w:r>
              <w:rPr>
                <w:rFonts w:hint="eastAsia"/>
                <w:color w:val="auto"/>
                <w:szCs w:val="24"/>
                <w:lang w:eastAsia="zh-CN"/>
              </w:rPr>
              <w:t>一定程度上破坏</w:t>
            </w:r>
            <w:r>
              <w:rPr>
                <w:rFonts w:hint="eastAsia"/>
                <w:color w:val="auto"/>
                <w:szCs w:val="24"/>
              </w:rPr>
              <w:t>建设地原有植被，容易引起水土流失，影响饮用水源水质。</w:t>
            </w:r>
            <w:r>
              <w:rPr>
                <w:rFonts w:hint="eastAsia"/>
                <w:color w:val="auto"/>
                <w:szCs w:val="24"/>
                <w:lang w:eastAsia="zh-CN"/>
              </w:rPr>
              <w:t>本</w:t>
            </w:r>
            <w:r>
              <w:rPr>
                <w:rFonts w:hint="eastAsia"/>
                <w:color w:val="auto"/>
                <w:szCs w:val="24"/>
              </w:rPr>
              <w:t>项目在建设施工过程中通过采取相应的保护措施，加强施工管理，项目施工期对环境影响较小</w:t>
            </w:r>
            <w:r>
              <w:rPr>
                <w:rFonts w:hint="eastAsia"/>
                <w:color w:val="auto"/>
                <w:szCs w:val="24"/>
                <w:lang w:eastAsia="zh-CN"/>
              </w:rPr>
              <w:t>，</w:t>
            </w:r>
            <w:r>
              <w:rPr>
                <w:rFonts w:hint="eastAsia"/>
                <w:color w:val="auto"/>
                <w:szCs w:val="24"/>
              </w:rPr>
              <w:t>工程施工过程中破坏的植被在采取绿化和污染防治措施减轻对周边生态环境的影响，产生的生态影响在可接受范围内。</w:t>
            </w:r>
          </w:p>
          <w:p>
            <w:pPr>
              <w:ind w:firstLine="480"/>
              <w:rPr>
                <w:color w:val="auto"/>
                <w:szCs w:val="24"/>
              </w:rPr>
            </w:pPr>
            <w:r>
              <w:rPr>
                <w:rFonts w:hint="eastAsia"/>
                <w:color w:val="auto"/>
              </w:rPr>
              <w:t>根据实地调查，</w:t>
            </w:r>
            <w:r>
              <w:rPr>
                <w:rFonts w:hint="eastAsia"/>
                <w:color w:val="auto"/>
                <w:lang w:eastAsia="zh-CN"/>
              </w:rPr>
              <w:t>八一</w:t>
            </w:r>
            <w:r>
              <w:rPr>
                <w:rFonts w:hint="eastAsia"/>
                <w:color w:val="auto"/>
              </w:rPr>
              <w:t>水库没有发现珍稀水生生物及较大经济鱼类产卵场，生物主要以浮游生物为主，取水对其水生生物影响较小。</w:t>
            </w:r>
            <w:r>
              <w:rPr>
                <w:rFonts w:hint="eastAsia"/>
                <w:color w:val="auto"/>
                <w:lang w:eastAsia="zh-CN"/>
              </w:rPr>
              <w:t>八一</w:t>
            </w:r>
            <w:r>
              <w:rPr>
                <w:rFonts w:hint="eastAsia"/>
                <w:color w:val="auto"/>
              </w:rPr>
              <w:t>水库集水面积</w:t>
            </w:r>
            <w:r>
              <w:rPr>
                <w:rFonts w:hint="eastAsia"/>
                <w:color w:val="auto"/>
                <w:lang w:val="en-US" w:eastAsia="zh-CN"/>
              </w:rPr>
              <w:t>1.2km</w:t>
            </w:r>
            <w:r>
              <w:rPr>
                <w:rFonts w:hint="eastAsia"/>
                <w:color w:val="auto"/>
                <w:vertAlign w:val="superscript"/>
                <w:lang w:val="en-US" w:eastAsia="zh-CN"/>
              </w:rPr>
              <w:t>2</w:t>
            </w:r>
            <w:r>
              <w:rPr>
                <w:rFonts w:hint="eastAsia"/>
                <w:color w:val="auto"/>
              </w:rPr>
              <w:t>，总库容</w:t>
            </w:r>
            <w:r>
              <w:rPr>
                <w:rFonts w:hint="eastAsia"/>
                <w:color w:val="auto"/>
                <w:lang w:eastAsia="zh-CN"/>
              </w:rPr>
              <w:t>2</w:t>
            </w:r>
            <w:r>
              <w:rPr>
                <w:rFonts w:hint="eastAsia"/>
                <w:color w:val="auto"/>
                <w:lang w:val="en-US" w:eastAsia="zh-CN"/>
              </w:rPr>
              <w:t>8</w:t>
            </w:r>
            <w:r>
              <w:rPr>
                <w:rFonts w:hint="eastAsia"/>
                <w:color w:val="auto"/>
              </w:rPr>
              <w:t>万m³，</w:t>
            </w:r>
            <w:r>
              <w:rPr>
                <w:rFonts w:hint="eastAsia"/>
                <w:color w:val="auto"/>
                <w:lang w:eastAsia="zh-CN"/>
              </w:rPr>
              <w:t>设计</w:t>
            </w:r>
            <w:r>
              <w:rPr>
                <w:rFonts w:hint="eastAsia"/>
                <w:color w:val="auto"/>
              </w:rPr>
              <w:t>取水量</w:t>
            </w:r>
            <w:r>
              <w:rPr>
                <w:rFonts w:hint="eastAsia"/>
                <w:color w:val="auto"/>
                <w:lang w:val="en-US" w:eastAsia="zh-CN"/>
              </w:rPr>
              <w:t>606</w:t>
            </w:r>
            <w:r>
              <w:rPr>
                <w:rFonts w:hint="eastAsia"/>
                <w:color w:val="auto"/>
              </w:rPr>
              <w:t>m³/d，本工程</w:t>
            </w:r>
            <w:r>
              <w:rPr>
                <w:rFonts w:hint="eastAsia"/>
                <w:color w:val="auto"/>
                <w:lang w:eastAsia="zh-CN"/>
              </w:rPr>
              <w:t>仅作为西江镇的补充水源</w:t>
            </w:r>
            <w:r>
              <w:rPr>
                <w:rFonts w:hint="eastAsia"/>
                <w:color w:val="auto"/>
              </w:rPr>
              <w:t>，因此，</w:t>
            </w:r>
            <w:r>
              <w:rPr>
                <w:rFonts w:hint="eastAsia"/>
                <w:color w:val="auto"/>
                <w:lang w:eastAsia="zh-CN"/>
              </w:rPr>
              <w:t>八一</w:t>
            </w:r>
            <w:r>
              <w:rPr>
                <w:rFonts w:hint="eastAsia"/>
                <w:color w:val="auto"/>
              </w:rPr>
              <w:t>水库的库容能满足取水规模的需求，取水对</w:t>
            </w:r>
            <w:r>
              <w:rPr>
                <w:rFonts w:hint="eastAsia"/>
                <w:color w:val="auto"/>
                <w:lang w:eastAsia="zh-CN"/>
              </w:rPr>
              <w:t>八一</w:t>
            </w:r>
            <w:r>
              <w:rPr>
                <w:rFonts w:hint="eastAsia"/>
                <w:color w:val="auto"/>
              </w:rPr>
              <w:t>水库的影响较小。</w:t>
            </w:r>
          </w:p>
        </w:tc>
      </w:tr>
    </w:tbl>
    <w:p>
      <w:pPr>
        <w:widowControl/>
        <w:spacing w:line="240" w:lineRule="auto"/>
        <w:ind w:firstLine="0" w:firstLineChars="0"/>
        <w:jc w:val="left"/>
        <w:rPr>
          <w:b/>
          <w:bCs/>
          <w:color w:val="auto"/>
          <w:sz w:val="28"/>
          <w:szCs w:val="32"/>
        </w:rPr>
      </w:pPr>
      <w:r>
        <w:rPr>
          <w:color w:val="auto"/>
        </w:rPr>
        <w:br w:type="page"/>
      </w:r>
    </w:p>
    <w:p>
      <w:pPr>
        <w:pStyle w:val="36"/>
        <w:topLinePunct/>
        <w:rPr>
          <w:color w:val="auto"/>
        </w:rPr>
      </w:pPr>
      <w:r>
        <w:rPr>
          <w:color w:val="auto"/>
        </w:rPr>
        <w:t>环境影响分析</w:t>
      </w:r>
    </w:p>
    <w:tbl>
      <w:tblPr>
        <w:tblStyle w:val="39"/>
        <w:tblW w:w="869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6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pStyle w:val="54"/>
              <w:rPr>
                <w:color w:val="auto"/>
              </w:rPr>
            </w:pPr>
            <w:r>
              <w:rPr>
                <w:color w:val="auto"/>
              </w:rPr>
              <w:t>施工期环境影响简要分析</w:t>
            </w:r>
          </w:p>
          <w:p>
            <w:pPr>
              <w:pStyle w:val="55"/>
              <w:ind w:firstLine="482"/>
              <w:rPr>
                <w:color w:val="auto"/>
              </w:rPr>
            </w:pPr>
            <w:r>
              <w:rPr>
                <w:rFonts w:hint="eastAsia"/>
                <w:color w:val="auto"/>
              </w:rPr>
              <w:t>一</w:t>
            </w:r>
            <w:r>
              <w:rPr>
                <w:color w:val="auto"/>
              </w:rPr>
              <w:t>、施工期</w:t>
            </w:r>
            <w:r>
              <w:rPr>
                <w:rFonts w:hint="eastAsia"/>
                <w:color w:val="auto"/>
              </w:rPr>
              <w:t>废水</w:t>
            </w:r>
            <w:r>
              <w:rPr>
                <w:color w:val="auto"/>
              </w:rPr>
              <w:t>环境影响及污染防治措施</w:t>
            </w:r>
          </w:p>
          <w:p>
            <w:pPr>
              <w:ind w:firstLine="482"/>
              <w:rPr>
                <w:b/>
                <w:color w:val="auto"/>
              </w:rPr>
            </w:pPr>
            <w:r>
              <w:rPr>
                <w:rFonts w:hint="eastAsia"/>
                <w:b/>
                <w:color w:val="auto"/>
              </w:rPr>
              <w:t>1、</w:t>
            </w:r>
            <w:r>
              <w:rPr>
                <w:b/>
                <w:color w:val="auto"/>
              </w:rPr>
              <w:t>施工期水环境影响分析</w:t>
            </w:r>
          </w:p>
          <w:p>
            <w:pPr>
              <w:ind w:firstLine="480"/>
              <w:rPr>
                <w:color w:val="auto"/>
              </w:rPr>
            </w:pPr>
            <w:r>
              <w:rPr>
                <w:color w:val="auto"/>
              </w:rPr>
              <w:t>（1）施工期水环境影响分析</w:t>
            </w:r>
          </w:p>
          <w:p>
            <w:pPr>
              <w:ind w:firstLine="480"/>
              <w:rPr>
                <w:color w:val="auto"/>
              </w:rPr>
            </w:pPr>
            <w:r>
              <w:rPr>
                <w:color w:val="auto"/>
              </w:rPr>
              <w:t>施工期废水主要是施工废水和施工人员的生活污水。施工废水包括开挖和钻孔产生的泥浆水、机械设备运转的冷却水和洗涤水、混凝土运输车及输送系统冲洗废水。施工人员产生的生活污水为日常如厕活动产生的污水，生活污水均依托周边的卫生设施处理，不纳入本项目的污水排放。</w:t>
            </w:r>
          </w:p>
          <w:p>
            <w:pPr>
              <w:ind w:firstLine="480"/>
              <w:rPr>
                <w:b/>
                <w:bCs/>
                <w:color w:val="auto"/>
              </w:rPr>
            </w:pPr>
            <w:r>
              <w:rPr>
                <w:color w:val="auto"/>
              </w:rPr>
              <w:t>（2）废水污染防治措施</w:t>
            </w:r>
          </w:p>
          <w:p>
            <w:pPr>
              <w:ind w:firstLine="480"/>
              <w:rPr>
                <w:color w:val="auto"/>
              </w:rPr>
            </w:pPr>
            <w:r>
              <w:rPr>
                <w:color w:val="auto"/>
              </w:rPr>
              <w:t>施工废水产生量约10t/d，主要污染物为SS、石油类，在施工场地修建临时隔油隔渣沉淀池，对生产废水进行多级沉淀处理，处理后废水全部循环利用，用于施工场内洒水降尘、道路冲洗、出入工区的车辆轮胎冲洗等，禁止往水体外排。</w:t>
            </w:r>
          </w:p>
          <w:p>
            <w:pPr>
              <w:ind w:firstLine="480"/>
              <w:rPr>
                <w:color w:val="auto"/>
              </w:rPr>
            </w:pPr>
            <w:r>
              <w:rPr>
                <w:color w:val="auto"/>
              </w:rPr>
              <w:t>施工人员均为当地劳动力，就餐</w:t>
            </w:r>
            <w:r>
              <w:rPr>
                <w:rFonts w:hint="eastAsia"/>
                <w:color w:val="auto"/>
              </w:rPr>
              <w:t>和日常如厕依托当地村庄</w:t>
            </w:r>
            <w:r>
              <w:rPr>
                <w:color w:val="auto"/>
              </w:rPr>
              <w:t>，施工现场不设施工人员生活营地，项目施工期不产生生活污水。</w:t>
            </w:r>
          </w:p>
          <w:p>
            <w:pPr>
              <w:ind w:firstLine="480"/>
              <w:rPr>
                <w:color w:val="auto"/>
              </w:rPr>
            </w:pPr>
            <w:r>
              <w:rPr>
                <w:color w:val="auto"/>
              </w:rPr>
              <w:t>综上，项目施工期间废水经上述措施处理后对环境影响不大。</w:t>
            </w:r>
          </w:p>
          <w:p>
            <w:pPr>
              <w:pStyle w:val="55"/>
              <w:ind w:firstLine="482"/>
              <w:rPr>
                <w:color w:val="auto"/>
              </w:rPr>
            </w:pPr>
            <w:r>
              <w:rPr>
                <w:rFonts w:hint="eastAsia"/>
                <w:color w:val="auto"/>
              </w:rPr>
              <w:t>二</w:t>
            </w:r>
            <w:r>
              <w:rPr>
                <w:color w:val="auto"/>
              </w:rPr>
              <w:t>、施工期</w:t>
            </w:r>
            <w:r>
              <w:rPr>
                <w:rFonts w:hint="eastAsia"/>
                <w:color w:val="auto"/>
              </w:rPr>
              <w:t>废气</w:t>
            </w:r>
            <w:r>
              <w:rPr>
                <w:color w:val="auto"/>
              </w:rPr>
              <w:t>环境影响及污染防治措施</w:t>
            </w:r>
          </w:p>
          <w:p>
            <w:pPr>
              <w:ind w:firstLine="482"/>
              <w:rPr>
                <w:b/>
                <w:color w:val="auto"/>
              </w:rPr>
            </w:pPr>
            <w:r>
              <w:rPr>
                <w:rFonts w:hint="eastAsia"/>
                <w:b/>
                <w:color w:val="auto"/>
              </w:rPr>
              <w:t>1、施工期环境空气影响分析</w:t>
            </w:r>
          </w:p>
          <w:p>
            <w:pPr>
              <w:ind w:firstLine="480"/>
              <w:rPr>
                <w:color w:val="auto"/>
              </w:rPr>
            </w:pPr>
            <w:r>
              <w:rPr>
                <w:rFonts w:hint="eastAsia"/>
                <w:color w:val="auto"/>
              </w:rPr>
              <w:t>施工期间对环境空气影响最主要的是粉尘。施工过程粉尘主要来源于基础开挖、运输车辆和施工机械等产生扬尘；建筑材料的运输、装卸、储存和使用过程产生扬尘。由于重力沉降作用，扬尘影响随距离的增加而减少。在干燥、风速大的气象条件下，扬尘污染比较严重，这些扬尘经过大气扩散运输对周围的环境会产生一定影响，增加空气的浑浊度，特别是空气中可吸入颗粒物浓度的增加，将影响路人和施工人员的身体健康。</w:t>
            </w:r>
          </w:p>
          <w:p>
            <w:pPr>
              <w:ind w:firstLine="480"/>
              <w:rPr>
                <w:color w:val="auto"/>
              </w:rPr>
            </w:pPr>
            <w:r>
              <w:rPr>
                <w:rFonts w:hint="eastAsia"/>
                <w:color w:val="auto"/>
              </w:rPr>
              <w:t>施工机械的燃油废气和运输车辆尾气，但产生量不大，同时施工区环境空气质量现状良好，废气有一定扩散条件，在短时间内对区域环境空气有一定影响，但不会造成污染性影响。</w:t>
            </w:r>
          </w:p>
          <w:p>
            <w:pPr>
              <w:ind w:firstLine="482"/>
              <w:rPr>
                <w:b/>
                <w:color w:val="auto"/>
              </w:rPr>
            </w:pPr>
            <w:r>
              <w:rPr>
                <w:rFonts w:hint="eastAsia"/>
                <w:b/>
                <w:color w:val="auto"/>
              </w:rPr>
              <w:t>2、施工期环境</w:t>
            </w:r>
            <w:r>
              <w:rPr>
                <w:b/>
                <w:color w:val="auto"/>
              </w:rPr>
              <w:t>空气</w:t>
            </w:r>
            <w:r>
              <w:rPr>
                <w:rFonts w:hint="eastAsia"/>
                <w:b/>
                <w:color w:val="auto"/>
              </w:rPr>
              <w:t>污染防治措施</w:t>
            </w:r>
          </w:p>
          <w:p>
            <w:pPr>
              <w:ind w:firstLine="480"/>
              <w:rPr>
                <w:color w:val="auto"/>
              </w:rPr>
            </w:pPr>
            <w:r>
              <w:rPr>
                <w:rFonts w:hint="eastAsia"/>
                <w:color w:val="auto"/>
              </w:rPr>
              <w:t>（1）施工扬尘</w:t>
            </w:r>
          </w:p>
          <w:p>
            <w:pPr>
              <w:ind w:firstLine="480"/>
              <w:rPr>
                <w:color w:val="auto"/>
              </w:rPr>
            </w:pPr>
            <w:r>
              <w:rPr>
                <w:rFonts w:hint="eastAsia"/>
                <w:color w:val="auto"/>
              </w:rPr>
              <w:t>在工程施工建设过程中，平整土地、挖土、建材运输和装卸等过程都会产生扬尘。</w:t>
            </w:r>
          </w:p>
          <w:p>
            <w:pPr>
              <w:ind w:firstLine="480"/>
              <w:rPr>
                <w:color w:val="auto"/>
              </w:rPr>
            </w:pPr>
            <w:r>
              <w:rPr>
                <w:rFonts w:hint="eastAsia"/>
                <w:color w:val="auto"/>
              </w:rPr>
              <w:t>据有关文献资料介绍，施工工地的扬尘主要是运输车辆的行驶产生的，约占扬尘总量的</w:t>
            </w:r>
            <w:r>
              <w:rPr>
                <w:color w:val="auto"/>
              </w:rPr>
              <w:t>60%</w:t>
            </w:r>
            <w:r>
              <w:rPr>
                <w:rFonts w:hint="eastAsia"/>
                <w:color w:val="auto"/>
              </w:rPr>
              <w:t>，但这与道路状况有很大关系。扬尘粒径都在</w:t>
            </w:r>
            <w:r>
              <w:rPr>
                <w:color w:val="auto"/>
              </w:rPr>
              <w:t>3~80m</w:t>
            </w:r>
            <w:r>
              <w:rPr>
                <w:rFonts w:hint="eastAsia"/>
                <w:color w:val="auto"/>
              </w:rPr>
              <w:t>，大多为球形，比重在</w:t>
            </w:r>
            <w:r>
              <w:rPr>
                <w:color w:val="auto"/>
              </w:rPr>
              <w:t>1.3~2.0</w:t>
            </w:r>
            <w:r>
              <w:rPr>
                <w:rFonts w:hint="eastAsia"/>
                <w:color w:val="auto"/>
              </w:rPr>
              <w:t>之间。扬尘由于大小、比重不同，在大气中的停留时间和空间分布也不同。扬尘在受重力、浮力和气流运动的作用，可以发生沉降、上升和扩散，因此在施工场地时常可以看到尘土飞扬的现象，就是这原因所致。在自然风作用下，道路产生的扬尘一般影响范围在</w:t>
            </w:r>
            <w:r>
              <w:rPr>
                <w:color w:val="auto"/>
              </w:rPr>
              <w:t>100m</w:t>
            </w:r>
            <w:r>
              <w:rPr>
                <w:rFonts w:hint="eastAsia"/>
                <w:color w:val="auto"/>
              </w:rPr>
              <w:t>以内。为了尽量抑制扬尘产生，需定时洒水和清扫。如果在施工期间对车辆行驶的路面实施只洒水不清扫，可使扬尘量减少70%~80%，若清扫后洒水，抑尘效率能达90%以上，其抑尘效果是显而易见的。另外，据资料介绍，当料堆表面含水率大于6%，扬尘对周围环境的影响将大大减少，提高表面含水率能对料堆风吹起尘起到很大的抑制作用。因此在选择建材堆放、转运的场地时，首先应避开人群流动较为集中的场地；对易产生扬尘的物资，不要在开阔地或露天堆放，遇到大风天气应避免作业，运输时尽量避免敞开式运输。</w:t>
            </w:r>
          </w:p>
          <w:p>
            <w:pPr>
              <w:ind w:firstLine="480"/>
              <w:rPr>
                <w:color w:val="auto"/>
              </w:rPr>
            </w:pPr>
            <w:r>
              <w:rPr>
                <w:rFonts w:hint="eastAsia"/>
                <w:color w:val="auto"/>
              </w:rPr>
              <w:t>（2）尾气</w:t>
            </w:r>
          </w:p>
          <w:p>
            <w:pPr>
              <w:ind w:firstLine="480"/>
              <w:rPr>
                <w:color w:val="auto"/>
              </w:rPr>
            </w:pPr>
            <w:r>
              <w:rPr>
                <w:rFonts w:hint="eastAsia"/>
                <w:color w:val="auto"/>
              </w:rPr>
              <w:t>本项目施工过程用到的施工机械主要包括挖掘机、装载机、运输车等，它们以柴油为燃料，会产生一定量废气，包括CO、NO</w:t>
            </w:r>
            <w:r>
              <w:rPr>
                <w:rFonts w:hint="eastAsia"/>
                <w:color w:val="auto"/>
                <w:vertAlign w:val="subscript"/>
              </w:rPr>
              <w:t>x</w:t>
            </w:r>
            <w:r>
              <w:rPr>
                <w:rFonts w:hint="eastAsia"/>
                <w:color w:val="auto"/>
              </w:rPr>
              <w:t>、SO</w:t>
            </w:r>
            <w:r>
              <w:rPr>
                <w:rFonts w:hint="eastAsia"/>
                <w:color w:val="auto"/>
                <w:vertAlign w:val="subscript"/>
              </w:rPr>
              <w:t>2</w:t>
            </w:r>
            <w:r>
              <w:rPr>
                <w:rFonts w:hint="eastAsia"/>
                <w:color w:val="auto"/>
              </w:rPr>
              <w:t>等，但产生量不大，影响范围有限。项目在施工过程中使用的运输车辆多为大吨位车辆，而且车辆路况多数不佳，工程车辆行驶将加重城镇车辆尾气污染负荷。因此施工现场应合理布置运输车辆行驶路线，配合有关部门搞好施工期间周围道路的交通组织，保证行驶速度，减少怠速时间，以减少机动车尾气的排放；对燃柴油的大型运输车辆和推土机需安装尾气净化器，尾气应达标排放；加强对施工机械，运输车辆的维修保养，禁止施工机械超负荷工作和运输车辆超载；不得使用劣质燃料。</w:t>
            </w:r>
          </w:p>
          <w:p>
            <w:pPr>
              <w:pStyle w:val="55"/>
              <w:ind w:firstLine="482"/>
              <w:rPr>
                <w:color w:val="auto"/>
              </w:rPr>
            </w:pPr>
            <w:r>
              <w:rPr>
                <w:rFonts w:hint="eastAsia"/>
                <w:color w:val="auto"/>
              </w:rPr>
              <w:t>三</w:t>
            </w:r>
            <w:r>
              <w:rPr>
                <w:color w:val="auto"/>
              </w:rPr>
              <w:t>、施工期噪声环境影响及污染防治措施</w:t>
            </w:r>
          </w:p>
          <w:p>
            <w:pPr>
              <w:ind w:firstLine="482"/>
              <w:rPr>
                <w:b/>
                <w:color w:val="auto"/>
              </w:rPr>
            </w:pPr>
            <w:r>
              <w:rPr>
                <w:rFonts w:hint="eastAsia"/>
                <w:b/>
                <w:color w:val="auto"/>
              </w:rPr>
              <w:t>1、施工期噪声环境影响分析</w:t>
            </w:r>
          </w:p>
          <w:p>
            <w:pPr>
              <w:ind w:firstLine="480"/>
              <w:rPr>
                <w:rFonts w:hint="eastAsia"/>
                <w:color w:val="auto"/>
              </w:rPr>
            </w:pPr>
            <w:r>
              <w:rPr>
                <w:rFonts w:hint="eastAsia"/>
                <w:color w:val="auto"/>
              </w:rPr>
              <w:t>本工程对声环境的影响主要来自施工场地及材料运输等，本工程施工所使用机械均为一些小型机械，根据各声环境敏感点与污染源的距离，采用噪声传播衰减公式进行影响预测。预测结果如下表。</w:t>
            </w:r>
          </w:p>
          <w:p>
            <w:pPr>
              <w:ind w:firstLine="480"/>
              <w:rPr>
                <w:rFonts w:hint="eastAsia"/>
                <w:color w:val="auto"/>
              </w:rPr>
            </w:pPr>
          </w:p>
          <w:p>
            <w:pPr>
              <w:pStyle w:val="56"/>
              <w:rPr>
                <w:color w:val="auto"/>
              </w:rPr>
            </w:pPr>
            <w:r>
              <w:rPr>
                <w:color w:val="auto"/>
              </w:rPr>
              <w:t>表</w:t>
            </w:r>
            <w:r>
              <w:rPr>
                <w:rFonts w:hint="eastAsia"/>
                <w:color w:val="auto"/>
                <w:lang w:val="en-US" w:eastAsia="zh-CN"/>
              </w:rPr>
              <w:t>7-1</w:t>
            </w:r>
            <w:r>
              <w:rPr>
                <w:color w:val="auto"/>
              </w:rPr>
              <w:t xml:space="preserve">  </w:t>
            </w:r>
            <w:r>
              <w:rPr>
                <w:rFonts w:hint="eastAsia"/>
                <w:color w:val="auto"/>
              </w:rPr>
              <w:t>距施工场地中心不同距离噪声预测值表</w:t>
            </w:r>
          </w:p>
          <w:tbl>
            <w:tblPr>
              <w:tblStyle w:val="39"/>
              <w:tblW w:w="8494"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3243"/>
              <w:gridCol w:w="875"/>
              <w:gridCol w:w="875"/>
              <w:gridCol w:w="875"/>
              <w:gridCol w:w="875"/>
              <w:gridCol w:w="875"/>
              <w:gridCol w:w="87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Ex>
              <w:trPr>
                <w:cantSplit/>
                <w:trHeight w:val="397" w:hRule="atLeast"/>
                <w:jc w:val="center"/>
              </w:trPr>
              <w:tc>
                <w:tcPr>
                  <w:tcW w:w="3243" w:type="dxa"/>
                  <w:vAlign w:val="center"/>
                </w:tcPr>
                <w:p>
                  <w:pPr>
                    <w:pStyle w:val="57"/>
                    <w:rPr>
                      <w:color w:val="auto"/>
                      <w:kern w:val="0"/>
                    </w:rPr>
                  </w:pPr>
                  <w:r>
                    <w:rPr>
                      <w:color w:val="auto"/>
                    </w:rPr>
                    <w:t>距离（m）</w:t>
                  </w:r>
                </w:p>
              </w:tc>
              <w:tc>
                <w:tcPr>
                  <w:tcW w:w="875" w:type="dxa"/>
                  <w:vAlign w:val="center"/>
                </w:tcPr>
                <w:p>
                  <w:pPr>
                    <w:pStyle w:val="57"/>
                    <w:rPr>
                      <w:color w:val="auto"/>
                    </w:rPr>
                  </w:pPr>
                  <w:r>
                    <w:rPr>
                      <w:rFonts w:hint="eastAsia"/>
                      <w:color w:val="auto"/>
                    </w:rPr>
                    <w:t>20</w:t>
                  </w:r>
                </w:p>
              </w:tc>
              <w:tc>
                <w:tcPr>
                  <w:tcW w:w="875" w:type="dxa"/>
                  <w:vAlign w:val="center"/>
                </w:tcPr>
                <w:p>
                  <w:pPr>
                    <w:pStyle w:val="57"/>
                    <w:rPr>
                      <w:color w:val="auto"/>
                    </w:rPr>
                  </w:pPr>
                  <w:r>
                    <w:rPr>
                      <w:rFonts w:hint="eastAsia"/>
                      <w:color w:val="auto"/>
                    </w:rPr>
                    <w:t>50</w:t>
                  </w:r>
                </w:p>
              </w:tc>
              <w:tc>
                <w:tcPr>
                  <w:tcW w:w="875" w:type="dxa"/>
                  <w:vAlign w:val="center"/>
                </w:tcPr>
                <w:p>
                  <w:pPr>
                    <w:pStyle w:val="57"/>
                    <w:rPr>
                      <w:color w:val="auto"/>
                    </w:rPr>
                  </w:pPr>
                  <w:r>
                    <w:rPr>
                      <w:rFonts w:hint="eastAsia"/>
                      <w:color w:val="auto"/>
                    </w:rPr>
                    <w:t>100</w:t>
                  </w:r>
                </w:p>
              </w:tc>
              <w:tc>
                <w:tcPr>
                  <w:tcW w:w="875" w:type="dxa"/>
                  <w:vAlign w:val="center"/>
                </w:tcPr>
                <w:p>
                  <w:pPr>
                    <w:pStyle w:val="57"/>
                    <w:rPr>
                      <w:color w:val="auto"/>
                    </w:rPr>
                  </w:pPr>
                  <w:r>
                    <w:rPr>
                      <w:rFonts w:hint="eastAsia"/>
                      <w:color w:val="auto"/>
                    </w:rPr>
                    <w:t>150</w:t>
                  </w:r>
                </w:p>
              </w:tc>
              <w:tc>
                <w:tcPr>
                  <w:tcW w:w="875" w:type="dxa"/>
                  <w:vAlign w:val="center"/>
                </w:tcPr>
                <w:p>
                  <w:pPr>
                    <w:pStyle w:val="57"/>
                    <w:rPr>
                      <w:color w:val="auto"/>
                    </w:rPr>
                  </w:pPr>
                  <w:r>
                    <w:rPr>
                      <w:rFonts w:hint="eastAsia"/>
                      <w:color w:val="auto"/>
                    </w:rPr>
                    <w:t>200</w:t>
                  </w:r>
                </w:p>
              </w:tc>
              <w:tc>
                <w:tcPr>
                  <w:tcW w:w="876" w:type="dxa"/>
                  <w:vAlign w:val="center"/>
                </w:tcPr>
                <w:p>
                  <w:pPr>
                    <w:pStyle w:val="57"/>
                    <w:rPr>
                      <w:color w:val="auto"/>
                    </w:rPr>
                  </w:pPr>
                  <w:r>
                    <w:rPr>
                      <w:rFonts w:hint="eastAsia"/>
                      <w:color w:val="auto"/>
                    </w:rPr>
                    <w:t>500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Ex>
              <w:trPr>
                <w:cantSplit/>
                <w:trHeight w:val="397" w:hRule="atLeast"/>
                <w:jc w:val="center"/>
              </w:trPr>
              <w:tc>
                <w:tcPr>
                  <w:tcW w:w="3243" w:type="dxa"/>
                  <w:vAlign w:val="center"/>
                </w:tcPr>
                <w:p>
                  <w:pPr>
                    <w:pStyle w:val="57"/>
                    <w:rPr>
                      <w:color w:val="auto"/>
                    </w:rPr>
                  </w:pPr>
                  <w:r>
                    <w:rPr>
                      <w:rFonts w:hint="eastAsia"/>
                      <w:color w:val="auto"/>
                    </w:rPr>
                    <w:t>主体工程施工噪声预测值dB（A）</w:t>
                  </w:r>
                </w:p>
              </w:tc>
              <w:tc>
                <w:tcPr>
                  <w:tcW w:w="875" w:type="dxa"/>
                  <w:vAlign w:val="center"/>
                </w:tcPr>
                <w:p>
                  <w:pPr>
                    <w:pStyle w:val="57"/>
                    <w:rPr>
                      <w:color w:val="auto"/>
                    </w:rPr>
                  </w:pPr>
                  <w:r>
                    <w:rPr>
                      <w:color w:val="auto"/>
                    </w:rPr>
                    <w:t>75</w:t>
                  </w:r>
                </w:p>
              </w:tc>
              <w:tc>
                <w:tcPr>
                  <w:tcW w:w="875" w:type="dxa"/>
                  <w:vAlign w:val="center"/>
                </w:tcPr>
                <w:p>
                  <w:pPr>
                    <w:pStyle w:val="57"/>
                    <w:rPr>
                      <w:color w:val="auto"/>
                    </w:rPr>
                  </w:pPr>
                  <w:r>
                    <w:rPr>
                      <w:color w:val="auto"/>
                    </w:rPr>
                    <w:t>67</w:t>
                  </w:r>
                </w:p>
              </w:tc>
              <w:tc>
                <w:tcPr>
                  <w:tcW w:w="875" w:type="dxa"/>
                  <w:vAlign w:val="center"/>
                </w:tcPr>
                <w:p>
                  <w:pPr>
                    <w:pStyle w:val="57"/>
                    <w:rPr>
                      <w:color w:val="auto"/>
                    </w:rPr>
                  </w:pPr>
                  <w:r>
                    <w:rPr>
                      <w:color w:val="auto"/>
                    </w:rPr>
                    <w:t>61</w:t>
                  </w:r>
                </w:p>
              </w:tc>
              <w:tc>
                <w:tcPr>
                  <w:tcW w:w="875" w:type="dxa"/>
                  <w:vAlign w:val="center"/>
                </w:tcPr>
                <w:p>
                  <w:pPr>
                    <w:pStyle w:val="57"/>
                    <w:rPr>
                      <w:color w:val="auto"/>
                    </w:rPr>
                  </w:pPr>
                  <w:r>
                    <w:rPr>
                      <w:color w:val="auto"/>
                    </w:rPr>
                    <w:t>57.5</w:t>
                  </w:r>
                </w:p>
              </w:tc>
              <w:tc>
                <w:tcPr>
                  <w:tcW w:w="875" w:type="dxa"/>
                  <w:vAlign w:val="center"/>
                </w:tcPr>
                <w:p>
                  <w:pPr>
                    <w:pStyle w:val="57"/>
                    <w:rPr>
                      <w:color w:val="auto"/>
                    </w:rPr>
                  </w:pPr>
                  <w:r>
                    <w:rPr>
                      <w:color w:val="auto"/>
                    </w:rPr>
                    <w:t>55</w:t>
                  </w:r>
                </w:p>
              </w:tc>
              <w:tc>
                <w:tcPr>
                  <w:tcW w:w="876" w:type="dxa"/>
                  <w:vAlign w:val="center"/>
                </w:tcPr>
                <w:p>
                  <w:pPr>
                    <w:pStyle w:val="57"/>
                    <w:rPr>
                      <w:color w:val="auto"/>
                    </w:rPr>
                  </w:pPr>
                  <w:r>
                    <w:rPr>
                      <w:color w:val="auto"/>
                    </w:rPr>
                    <w:t>47</w:t>
                  </w:r>
                </w:p>
              </w:tc>
            </w:tr>
          </w:tbl>
          <w:p>
            <w:pPr>
              <w:ind w:firstLine="480"/>
              <w:rPr>
                <w:color w:val="auto"/>
              </w:rPr>
            </w:pPr>
            <w:r>
              <w:rPr>
                <w:rFonts w:hint="eastAsia"/>
                <w:color w:val="auto"/>
              </w:rPr>
              <w:t>从上表预测结果可知，施工噪声对声环境的影响很小。</w:t>
            </w:r>
            <w:r>
              <w:rPr>
                <w:rFonts w:hint="eastAsia"/>
                <w:color w:val="auto"/>
                <w:highlight w:val="none"/>
              </w:rPr>
              <w:t>本工程与最近敏感点</w:t>
            </w:r>
            <w:r>
              <w:rPr>
                <w:rFonts w:hint="eastAsia"/>
                <w:color w:val="auto"/>
                <w:highlight w:val="none"/>
                <w:lang w:eastAsia="zh-CN"/>
              </w:rPr>
              <w:t>西江镇区</w:t>
            </w:r>
            <w:r>
              <w:rPr>
                <w:rFonts w:hint="eastAsia"/>
                <w:color w:val="auto"/>
                <w:highlight w:val="none"/>
              </w:rPr>
              <w:t>距离</w:t>
            </w:r>
            <w:r>
              <w:rPr>
                <w:rFonts w:hint="eastAsia"/>
                <w:color w:val="auto"/>
                <w:highlight w:val="none"/>
                <w:lang w:val="en-US" w:eastAsia="zh-CN"/>
              </w:rPr>
              <w:t>400</w:t>
            </w:r>
            <w:r>
              <w:rPr>
                <w:rFonts w:hint="eastAsia"/>
                <w:color w:val="auto"/>
                <w:highlight w:val="none"/>
              </w:rPr>
              <w:t>m，仅在白天施工，且避开居民休息时间，因</w:t>
            </w:r>
            <w:r>
              <w:rPr>
                <w:rFonts w:hint="eastAsia"/>
                <w:color w:val="auto"/>
              </w:rPr>
              <w:t>此，对周边居住区基本不会造成太大的影响。为了进一步保护环境，建设和施工单位应积极采取有效防治措施，尽可能把施工噪声的影响降至最低程度。</w:t>
            </w:r>
          </w:p>
          <w:p>
            <w:pPr>
              <w:ind w:firstLine="482"/>
              <w:rPr>
                <w:b/>
                <w:color w:val="auto"/>
              </w:rPr>
            </w:pPr>
            <w:r>
              <w:rPr>
                <w:rFonts w:hint="eastAsia"/>
                <w:b/>
                <w:color w:val="auto"/>
              </w:rPr>
              <w:t>2、施工期声环境污染防治措施</w:t>
            </w:r>
          </w:p>
          <w:p>
            <w:pPr>
              <w:ind w:firstLine="480"/>
              <w:rPr>
                <w:color w:val="auto"/>
              </w:rPr>
            </w:pPr>
            <w:r>
              <w:rPr>
                <w:rFonts w:hint="eastAsia"/>
                <w:color w:val="auto"/>
              </w:rPr>
              <w:t>为有效防治本工程施工可能产生的噪声污染，建议采取以下防治措施</w:t>
            </w:r>
            <w:bookmarkStart w:id="0" w:name="_Toc85937679"/>
            <w:bookmarkStart w:id="1" w:name="_Toc140404454"/>
            <w:bookmarkStart w:id="2" w:name="_Toc74541795"/>
            <w:bookmarkStart w:id="3" w:name="_Toc139793251"/>
            <w:bookmarkStart w:id="4" w:name="_Toc139065403"/>
            <w:bookmarkStart w:id="5" w:name="_Toc108517693"/>
            <w:bookmarkStart w:id="6" w:name="_Toc74102350"/>
            <w:bookmarkStart w:id="7" w:name="_Toc108518138"/>
            <w:bookmarkStart w:id="8" w:name="_Toc109022127"/>
            <w:bookmarkStart w:id="9" w:name="_Toc113260444"/>
            <w:bookmarkStart w:id="10" w:name="_Toc139065551"/>
            <w:bookmarkStart w:id="11" w:name="_Toc83353801"/>
            <w:bookmarkStart w:id="12" w:name="_Toc139793102"/>
            <w:bookmarkStart w:id="13" w:name="_Toc74563320"/>
            <w:bookmarkStart w:id="14" w:name="_Toc113284025"/>
            <w:bookmarkStart w:id="15" w:name="_Toc84126611"/>
            <w:bookmarkStart w:id="16" w:name="_Toc108517859"/>
            <w:bookmarkStart w:id="17" w:name="_Toc81067328"/>
            <w:bookmarkStart w:id="18" w:name="_Toc83279405"/>
            <w:bookmarkStart w:id="19" w:name="_Toc83948137"/>
            <w:bookmarkStart w:id="20" w:name="_Toc85586525"/>
            <w:bookmarkStart w:id="21" w:name="_Toc80979192"/>
            <w:bookmarkStart w:id="22" w:name="_Toc108517280"/>
            <w:bookmarkStart w:id="23" w:name="_Toc109022023"/>
            <w:bookmarkStart w:id="24" w:name="_Toc113230192"/>
            <w:bookmarkStart w:id="25" w:name="_Toc109120942"/>
            <w:bookmarkStart w:id="26" w:name="_Toc74394932"/>
            <w:bookmarkStart w:id="27" w:name="_Toc83355740"/>
            <w:bookmarkStart w:id="28" w:name="_Toc85527649"/>
            <w:bookmarkStart w:id="29" w:name="_Toc113229922"/>
            <w:bookmarkStart w:id="30" w:name="_Toc151185049"/>
            <w:r>
              <w:rPr>
                <w:rFonts w:hint="eastAsia"/>
                <w:color w:val="auto"/>
              </w:rPr>
              <w:t>：</w:t>
            </w:r>
          </w:p>
          <w:p>
            <w:pPr>
              <w:ind w:firstLine="480"/>
              <w:rPr>
                <w:color w:val="auto"/>
              </w:rPr>
            </w:pPr>
            <w:r>
              <w:rPr>
                <w:rFonts w:hint="eastAsia"/>
                <w:color w:val="auto"/>
              </w:rPr>
              <w:t>（1）</w:t>
            </w:r>
            <w:r>
              <w:rPr>
                <w:color w:val="auto"/>
              </w:rPr>
              <w:t>对施工人员采取防护措施，如带防护耳塞、经常轮换作业等措施；在中午</w:t>
            </w:r>
            <w:r>
              <w:rPr>
                <w:rFonts w:hint="eastAsia"/>
                <w:color w:val="auto"/>
              </w:rPr>
              <w:t>（</w:t>
            </w:r>
            <w:r>
              <w:rPr>
                <w:color w:val="auto"/>
              </w:rPr>
              <w:t>12：00-14：30</w:t>
            </w:r>
            <w:r>
              <w:rPr>
                <w:rFonts w:hint="eastAsia"/>
                <w:color w:val="auto"/>
              </w:rPr>
              <w:t>）</w:t>
            </w:r>
            <w:r>
              <w:rPr>
                <w:color w:val="auto"/>
              </w:rPr>
              <w:t>和夜间</w:t>
            </w:r>
            <w:r>
              <w:rPr>
                <w:rFonts w:hint="eastAsia"/>
                <w:color w:val="auto"/>
              </w:rPr>
              <w:t>（</w:t>
            </w:r>
            <w:r>
              <w:rPr>
                <w:color w:val="auto"/>
              </w:rPr>
              <w:t>22：00-06：00</w:t>
            </w:r>
            <w:r>
              <w:rPr>
                <w:rFonts w:hint="eastAsia"/>
                <w:color w:val="auto"/>
              </w:rPr>
              <w:t>）</w:t>
            </w:r>
            <w:r>
              <w:rPr>
                <w:color w:val="auto"/>
              </w:rPr>
              <w:t>禁止施工作业</w:t>
            </w:r>
            <w:r>
              <w:rPr>
                <w:rFonts w:hint="eastAsia"/>
                <w:color w:val="auto"/>
              </w:rPr>
              <w:t>。</w:t>
            </w:r>
          </w:p>
          <w:p>
            <w:pPr>
              <w:ind w:firstLine="480"/>
              <w:rPr>
                <w:color w:val="auto"/>
              </w:rPr>
            </w:pPr>
            <w:r>
              <w:rPr>
                <w:rFonts w:hint="eastAsia"/>
                <w:color w:val="auto"/>
              </w:rPr>
              <w:t>（2）选用低噪声机械设备或带隔声、消声的设备，加强对施工设备的维修保养。</w:t>
            </w:r>
          </w:p>
          <w:p>
            <w:pPr>
              <w:ind w:firstLine="480"/>
              <w:rPr>
                <w:color w:val="auto"/>
              </w:rPr>
            </w:pPr>
            <w:r>
              <w:rPr>
                <w:rFonts w:hint="eastAsia"/>
                <w:color w:val="auto"/>
              </w:rPr>
              <w:t>（3）合理安排好施工时间和施工场所，高噪声作业区应远离住宅，并对设备定期保养，严格操作规范，采取临时隔声围护结构或吸声隔声屏障，减轻噪声影响。</w:t>
            </w:r>
          </w:p>
          <w:p>
            <w:pPr>
              <w:ind w:firstLine="480"/>
              <w:rPr>
                <w:color w:val="auto"/>
              </w:rPr>
            </w:pPr>
            <w:r>
              <w:rPr>
                <w:rFonts w:hint="eastAsia"/>
                <w:color w:val="auto"/>
              </w:rPr>
              <w:t>（4）合理疏导进入施工区的车辆，减少汽车会车时的鸣笛噪声；施工运输车辆进出场地应安排在远离住宅区一侧；施工场地四周设置围隔屏障，做到封闭施工，以减少噪声影响。</w:t>
            </w:r>
          </w:p>
          <w:p>
            <w:pPr>
              <w:ind w:firstLine="480"/>
              <w:rPr>
                <w:color w:val="auto"/>
              </w:rPr>
            </w:pPr>
            <w:r>
              <w:rPr>
                <w:rFonts w:hint="eastAsia"/>
                <w:color w:val="auto"/>
              </w:rPr>
              <w:t>本工程采取相应的噪声污染防治措施后，施工期产生的噪声能达到</w:t>
            </w:r>
            <w:r>
              <w:rPr>
                <w:color w:val="auto"/>
              </w:rPr>
              <w:t>《建筑施工场界环境噪声排放标准》（GB</w:t>
            </w:r>
            <w:r>
              <w:rPr>
                <w:rFonts w:hint="eastAsia"/>
                <w:color w:val="auto"/>
              </w:rPr>
              <w:t xml:space="preserve"> </w:t>
            </w:r>
            <w:r>
              <w:rPr>
                <w:color w:val="auto"/>
              </w:rPr>
              <w:t>12523-2011）要求</w:t>
            </w:r>
            <w:r>
              <w:rPr>
                <w:rFonts w:hint="eastAsia"/>
                <w:color w:val="auto"/>
              </w:rPr>
              <w:t>，</w:t>
            </w:r>
            <w:r>
              <w:rPr>
                <w:color w:val="auto"/>
              </w:rPr>
              <w:t>对周围环境影响不大</w:t>
            </w:r>
            <w:r>
              <w:rPr>
                <w:rFonts w:hint="eastAsia"/>
                <w:color w:val="auto"/>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Pr>
              <w:pStyle w:val="55"/>
              <w:ind w:firstLine="482"/>
              <w:rPr>
                <w:color w:val="auto"/>
              </w:rPr>
            </w:pPr>
            <w:r>
              <w:rPr>
                <w:rFonts w:hint="eastAsia"/>
                <w:color w:val="auto"/>
              </w:rPr>
              <w:t>四</w:t>
            </w:r>
            <w:r>
              <w:rPr>
                <w:color w:val="auto"/>
              </w:rPr>
              <w:t>、施工期</w:t>
            </w:r>
            <w:r>
              <w:rPr>
                <w:rFonts w:hint="eastAsia"/>
                <w:color w:val="auto"/>
              </w:rPr>
              <w:t>固体废物</w:t>
            </w:r>
            <w:r>
              <w:rPr>
                <w:color w:val="auto"/>
              </w:rPr>
              <w:t>环境影响及污染防治措施</w:t>
            </w:r>
          </w:p>
          <w:p>
            <w:pPr>
              <w:ind w:firstLine="482"/>
              <w:rPr>
                <w:b/>
                <w:color w:val="auto"/>
              </w:rPr>
            </w:pPr>
            <w:r>
              <w:rPr>
                <w:rFonts w:hint="eastAsia"/>
                <w:b/>
                <w:color w:val="auto"/>
              </w:rPr>
              <w:t>1、施工期</w:t>
            </w:r>
            <w:r>
              <w:rPr>
                <w:b/>
                <w:color w:val="auto"/>
              </w:rPr>
              <w:t>固体废物环境影响分析</w:t>
            </w:r>
          </w:p>
          <w:p>
            <w:pPr>
              <w:ind w:firstLine="480"/>
              <w:rPr>
                <w:color w:val="auto"/>
              </w:rPr>
            </w:pPr>
            <w:r>
              <w:rPr>
                <w:rFonts w:hint="eastAsia"/>
                <w:color w:val="auto"/>
              </w:rPr>
              <w:t>本工程施工期期间的工程弃土外运至指定的弃渣场进行处理，建筑垃圾应由统一收集后运往建筑垃圾处理场处理，施工人员生活垃圾集中收集后由环卫部门清运处理。</w:t>
            </w:r>
          </w:p>
          <w:p>
            <w:pPr>
              <w:ind w:firstLine="480"/>
              <w:rPr>
                <w:color w:val="auto"/>
              </w:rPr>
            </w:pPr>
            <w:r>
              <w:rPr>
                <w:rFonts w:hint="eastAsia" w:ascii="宋体" w:hAnsi="宋体"/>
                <w:color w:val="auto"/>
              </w:rPr>
              <w:t>采取以上措施后，工程施工固体废物对周围环境的影响较小。</w:t>
            </w:r>
          </w:p>
          <w:p>
            <w:pPr>
              <w:ind w:firstLine="482"/>
              <w:rPr>
                <w:b/>
                <w:color w:val="auto"/>
              </w:rPr>
            </w:pPr>
            <w:r>
              <w:rPr>
                <w:rFonts w:hint="eastAsia"/>
                <w:b/>
                <w:color w:val="auto"/>
              </w:rPr>
              <w:t>2、施工期</w:t>
            </w:r>
            <w:r>
              <w:rPr>
                <w:b/>
                <w:color w:val="auto"/>
              </w:rPr>
              <w:t>固体废物污染防治措施</w:t>
            </w:r>
          </w:p>
          <w:p>
            <w:pPr>
              <w:ind w:firstLine="480"/>
              <w:rPr>
                <w:color w:val="auto"/>
              </w:rPr>
            </w:pPr>
            <w:r>
              <w:rPr>
                <w:rFonts w:hint="eastAsia"/>
                <w:color w:val="auto"/>
              </w:rPr>
              <w:t>（1）</w:t>
            </w:r>
            <w:r>
              <w:rPr>
                <w:color w:val="auto"/>
              </w:rPr>
              <w:t>建设单位应完善施工管理，做到文明施工。对会引起扬尘的建筑废物采用围隔堆放处理，加强对建筑余泥或建筑材料的管理，确保运输沿途不洒漏，不扬尘，并运到有关部门指定的填埋场地堆放，严禁野蛮装运和乱倒乱卸。</w:t>
            </w:r>
          </w:p>
          <w:p>
            <w:pPr>
              <w:ind w:firstLine="480"/>
              <w:rPr>
                <w:color w:val="auto"/>
              </w:rPr>
            </w:pPr>
            <w:r>
              <w:rPr>
                <w:rFonts w:hint="eastAsia"/>
                <w:color w:val="auto"/>
              </w:rPr>
              <w:t>（2）</w:t>
            </w:r>
            <w:r>
              <w:rPr>
                <w:color w:val="auto"/>
              </w:rPr>
              <w:t>对余泥、渣土等</w:t>
            </w:r>
            <w:r>
              <w:rPr>
                <w:rFonts w:hint="eastAsia"/>
                <w:color w:val="auto"/>
              </w:rPr>
              <w:t>建筑垃圾</w:t>
            </w:r>
            <w:r>
              <w:rPr>
                <w:color w:val="auto"/>
              </w:rPr>
              <w:t>，应妥善收集并运输至城市</w:t>
            </w:r>
            <w:r>
              <w:rPr>
                <w:rFonts w:hint="eastAsia"/>
                <w:color w:val="auto"/>
              </w:rPr>
              <w:t>综合</w:t>
            </w:r>
            <w:r>
              <w:rPr>
                <w:color w:val="auto"/>
              </w:rPr>
              <w:t>管理部门指定地点消纳，对可再利用的废料，如</w:t>
            </w:r>
            <w:r>
              <w:rPr>
                <w:rFonts w:hint="eastAsia"/>
                <w:color w:val="auto"/>
              </w:rPr>
              <w:t>废包装材料、废钢管</w:t>
            </w:r>
            <w:r>
              <w:rPr>
                <w:color w:val="auto"/>
              </w:rPr>
              <w:t>等，应进行回收利用，以节省资源。</w:t>
            </w:r>
          </w:p>
          <w:p>
            <w:pPr>
              <w:ind w:firstLine="480"/>
              <w:rPr>
                <w:rFonts w:hAnsi="宋体"/>
                <w:color w:val="auto"/>
                <w:szCs w:val="24"/>
              </w:rPr>
            </w:pPr>
            <w:r>
              <w:rPr>
                <w:rFonts w:hint="eastAsia"/>
                <w:color w:val="auto"/>
              </w:rPr>
              <w:t>（3）</w:t>
            </w:r>
            <w:r>
              <w:rPr>
                <w:rFonts w:hAnsi="宋体"/>
                <w:color w:val="auto"/>
                <w:szCs w:val="24"/>
              </w:rPr>
              <w:t>合理调配工程土方，尽量减少剩余土方量。对临时堆放弃土，应采取覆盖防尘布、防尘网并配合定期喷洒粉尘抑制剂等措施，防止扬尘，同时集中收集因降雨引起的弃土堆地面径流水，并通过沉淀后再予排放。</w:t>
            </w:r>
          </w:p>
          <w:p>
            <w:pPr>
              <w:ind w:firstLine="480"/>
              <w:rPr>
                <w:color w:val="auto"/>
              </w:rPr>
            </w:pPr>
            <w:r>
              <w:rPr>
                <w:rFonts w:hint="eastAsia" w:hAnsi="宋体"/>
                <w:color w:val="auto"/>
                <w:szCs w:val="24"/>
              </w:rPr>
              <w:t>（4）</w:t>
            </w:r>
            <w:r>
              <w:rPr>
                <w:rFonts w:hAnsi="宋体"/>
                <w:color w:val="auto"/>
                <w:szCs w:val="24"/>
              </w:rPr>
              <w:t>要在施工现场统一设置垃圾箱等环境卫生设施，集中收集的生活垃圾定期送到当地的垃圾卫生填埋场进行填埋处置，不得随意倾倒，以免污染当地环境和影响景观。</w:t>
            </w:r>
          </w:p>
          <w:p>
            <w:pPr>
              <w:ind w:firstLine="480"/>
              <w:rPr>
                <w:color w:val="auto"/>
              </w:rPr>
            </w:pPr>
            <w:r>
              <w:rPr>
                <w:rFonts w:hint="eastAsia"/>
                <w:color w:val="auto"/>
              </w:rPr>
              <w:t>（5）</w:t>
            </w:r>
            <w:r>
              <w:rPr>
                <w:rFonts w:hAnsi="宋体"/>
                <w:color w:val="auto"/>
                <w:szCs w:val="24"/>
              </w:rPr>
              <w:t>施工过程中严格限制施工范围，严禁随意堆放弃渣，严禁弃渣下河。</w:t>
            </w:r>
          </w:p>
          <w:p>
            <w:pPr>
              <w:ind w:firstLine="480"/>
              <w:rPr>
                <w:color w:val="auto"/>
              </w:rPr>
            </w:pPr>
            <w:r>
              <w:rPr>
                <w:rFonts w:hint="eastAsia"/>
                <w:color w:val="auto"/>
              </w:rPr>
              <w:t>本工程采取相应的建筑固体废物防治措施后，施工期产生的固体废物</w:t>
            </w:r>
            <w:r>
              <w:rPr>
                <w:color w:val="auto"/>
              </w:rPr>
              <w:t>对周围环境影响不大</w:t>
            </w:r>
            <w:r>
              <w:rPr>
                <w:rFonts w:hint="eastAsia"/>
                <w:color w:val="auto"/>
              </w:rPr>
              <w:t>。</w:t>
            </w:r>
          </w:p>
          <w:p>
            <w:pPr>
              <w:pStyle w:val="54"/>
              <w:rPr>
                <w:color w:val="auto"/>
              </w:rPr>
            </w:pPr>
            <w:r>
              <w:rPr>
                <w:color w:val="auto"/>
              </w:rPr>
              <w:t>营运期环境影响分析</w:t>
            </w:r>
          </w:p>
          <w:p>
            <w:pPr>
              <w:pStyle w:val="55"/>
              <w:ind w:firstLine="482"/>
              <w:rPr>
                <w:color w:val="auto"/>
              </w:rPr>
            </w:pPr>
            <w:r>
              <w:rPr>
                <w:rFonts w:hint="eastAsia"/>
                <w:color w:val="auto"/>
              </w:rPr>
              <w:t>一、水环境影响分析</w:t>
            </w:r>
          </w:p>
          <w:p>
            <w:pPr>
              <w:ind w:firstLine="480"/>
              <w:rPr>
                <w:color w:val="auto"/>
              </w:rPr>
            </w:pPr>
            <w:r>
              <w:rPr>
                <w:rFonts w:hint="eastAsia"/>
                <w:color w:val="auto"/>
              </w:rPr>
              <w:t>本工程生活污水经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rFonts w:hint="eastAsia"/>
                <w:color w:val="auto"/>
              </w:rPr>
              <w:t>处理达到《农田灌溉水质标准》（GB5084-2005）旱作标准后回用于周边林地灌溉，不外排。根据《环境影响评价技术导则地表水环境》（HJ2.3-2018）规定的方法判断，本项目的地表水影响评价工作等级定为三级B评价。水污染影响型三级B评价可不进行水环境影响预测。</w:t>
            </w:r>
          </w:p>
          <w:p>
            <w:pPr>
              <w:ind w:firstLine="480"/>
              <w:rPr>
                <w:color w:val="auto"/>
              </w:rPr>
            </w:pPr>
            <w:r>
              <w:rPr>
                <w:rFonts w:hint="eastAsia"/>
                <w:color w:val="auto"/>
              </w:rPr>
              <w:t>（1）水污染控制和水环境影响减缓措施有效性评价</w:t>
            </w:r>
          </w:p>
          <w:p>
            <w:pPr>
              <w:ind w:firstLine="480"/>
              <w:rPr>
                <w:color w:val="auto"/>
              </w:rPr>
            </w:pPr>
            <w:r>
              <w:rPr>
                <w:rFonts w:hint="eastAsia"/>
                <w:color w:val="auto"/>
              </w:rPr>
              <w:t>项目营运期生活废水水质简单，主要污染物CODcr、BOD</w:t>
            </w:r>
            <w:r>
              <w:rPr>
                <w:rFonts w:hint="eastAsia"/>
                <w:color w:val="auto"/>
                <w:vertAlign w:val="subscript"/>
              </w:rPr>
              <w:t>5</w:t>
            </w:r>
            <w:r>
              <w:rPr>
                <w:rFonts w:hint="eastAsia"/>
                <w:color w:val="auto"/>
              </w:rPr>
              <w:t>、SS</w:t>
            </w:r>
            <w:r>
              <w:rPr>
                <w:rFonts w:hint="eastAsia"/>
                <w:color w:val="auto"/>
                <w:lang w:eastAsia="zh-CN"/>
              </w:rPr>
              <w:t>、动植物油</w:t>
            </w:r>
            <w:r>
              <w:rPr>
                <w:rFonts w:hint="eastAsia"/>
                <w:color w:val="auto"/>
              </w:rPr>
              <w:t>，经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rFonts w:hint="eastAsia"/>
                <w:color w:val="auto"/>
              </w:rPr>
              <w:t>处理后，可以满足《农田灌溉水质标准》（GB5084-2005）旱作标准，水质可用于项目周边林地灌溉。</w:t>
            </w:r>
          </w:p>
          <w:p>
            <w:pPr>
              <w:ind w:firstLine="480"/>
              <w:rPr>
                <w:color w:val="auto"/>
              </w:rPr>
            </w:pPr>
            <w:r>
              <w:rPr>
                <w:rFonts w:hint="eastAsia"/>
                <w:color w:val="auto"/>
              </w:rPr>
              <w:t>（2）污水回用的可行性分析</w:t>
            </w:r>
          </w:p>
          <w:p>
            <w:pPr>
              <w:ind w:firstLine="480"/>
              <w:rPr>
                <w:color w:val="auto"/>
              </w:rPr>
            </w:pPr>
            <w:r>
              <w:rPr>
                <w:rFonts w:hint="eastAsia"/>
                <w:color w:val="auto"/>
              </w:rPr>
              <w:t>项目生活污水排放量为</w:t>
            </w:r>
            <w:r>
              <w:rPr>
                <w:color w:val="auto"/>
              </w:rPr>
              <w:t>0.</w:t>
            </w:r>
            <w:r>
              <w:rPr>
                <w:rFonts w:hint="eastAsia"/>
                <w:color w:val="auto"/>
                <w:lang w:val="en-US" w:eastAsia="zh-CN"/>
              </w:rPr>
              <w:t>256</w:t>
            </w:r>
            <w:r>
              <w:rPr>
                <w:color w:val="auto"/>
              </w:rPr>
              <w:t>m³/d</w:t>
            </w:r>
            <w:r>
              <w:rPr>
                <w:rFonts w:hint="eastAsia"/>
                <w:color w:val="auto"/>
              </w:rPr>
              <w:t>（</w:t>
            </w:r>
            <w:r>
              <w:rPr>
                <w:rFonts w:hint="eastAsia"/>
                <w:color w:val="auto"/>
                <w:lang w:val="en-US" w:eastAsia="zh-CN"/>
              </w:rPr>
              <w:t>93.44</w:t>
            </w:r>
            <w:r>
              <w:rPr>
                <w:rFonts w:hint="eastAsia"/>
                <w:color w:val="auto"/>
              </w:rPr>
              <w:t>m³/a），产生量少，生活污水水质简单，主要污染因子为COD</w:t>
            </w:r>
            <w:r>
              <w:rPr>
                <w:color w:val="auto"/>
                <w:vertAlign w:val="subscript"/>
              </w:rPr>
              <w:t>Cr</w:t>
            </w:r>
            <w:r>
              <w:rPr>
                <w:rFonts w:hint="eastAsia"/>
                <w:color w:val="auto"/>
              </w:rPr>
              <w:t>、BOD</w:t>
            </w:r>
            <w:r>
              <w:rPr>
                <w:color w:val="auto"/>
                <w:vertAlign w:val="subscript"/>
              </w:rPr>
              <w:t>5</w:t>
            </w:r>
            <w:r>
              <w:rPr>
                <w:rFonts w:hint="eastAsia"/>
                <w:color w:val="auto"/>
              </w:rPr>
              <w:t>、氨氮、SS</w:t>
            </w:r>
            <w:r>
              <w:rPr>
                <w:rFonts w:hint="eastAsia"/>
                <w:color w:val="auto"/>
                <w:lang w:eastAsia="zh-CN"/>
              </w:rPr>
              <w:t>、动植物油</w:t>
            </w:r>
            <w:r>
              <w:rPr>
                <w:rFonts w:hint="eastAsia"/>
                <w:color w:val="auto"/>
              </w:rPr>
              <w:t>等，项目生活污水经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rFonts w:hint="eastAsia"/>
                <w:color w:val="auto"/>
              </w:rPr>
              <w:t>处理后用于厂区绿化灌溉，不外排，生活污水可达到《农田灌溉水质标准》（GB5084-2005）中的旱作标准。不会对周围环境带来明显的影响。</w:t>
            </w:r>
          </w:p>
          <w:p>
            <w:pPr>
              <w:ind w:firstLine="480"/>
              <w:rPr>
                <w:rFonts w:hint="eastAsia"/>
                <w:color w:val="auto"/>
              </w:rPr>
            </w:pPr>
            <w:r>
              <w:rPr>
                <w:rFonts w:hint="eastAsia"/>
                <w:color w:val="auto"/>
              </w:rPr>
              <w:t>参考《广东省用水定额》（DB44/T1461-2014），城市绿化管理用水量以公共绿化面积为基数，为综合定额值，用水量为1.1L/平方•日</w:t>
            </w:r>
            <w:r>
              <w:rPr>
                <w:rFonts w:hint="eastAsia"/>
                <w:color w:val="auto"/>
                <w:lang w:eastAsia="zh-CN"/>
              </w:rPr>
              <w:t>，</w:t>
            </w:r>
            <w:r>
              <w:rPr>
                <w:rFonts w:hint="eastAsia"/>
                <w:color w:val="auto"/>
              </w:rPr>
              <w:t>绿化用水与当地降雨有关，扣除雨水天，一年按214天计，平均每两天浇灌1次，则项目周边林地灌溉用水为411.95m³/a，</w:t>
            </w:r>
            <w:r>
              <w:rPr>
                <w:rFonts w:hint="eastAsia"/>
                <w:color w:val="auto"/>
                <w:lang w:eastAsia="zh-CN"/>
              </w:rPr>
              <w:t>本项目的</w:t>
            </w:r>
            <w:r>
              <w:rPr>
                <w:rFonts w:hint="eastAsia"/>
                <w:color w:val="auto"/>
              </w:rPr>
              <w:t>生活</w:t>
            </w:r>
            <w:r>
              <w:rPr>
                <w:rFonts w:hint="eastAsia"/>
                <w:color w:val="auto"/>
                <w:lang w:eastAsia="zh-CN"/>
              </w:rPr>
              <w:t>污</w:t>
            </w:r>
            <w:r>
              <w:rPr>
                <w:rFonts w:hint="eastAsia"/>
                <w:color w:val="auto"/>
              </w:rPr>
              <w:t>水量</w:t>
            </w:r>
            <w:r>
              <w:rPr>
                <w:rFonts w:hint="eastAsia"/>
                <w:color w:val="auto"/>
                <w:lang w:val="en-US" w:eastAsia="zh-CN"/>
              </w:rPr>
              <w:t>93.44</w:t>
            </w:r>
            <w:r>
              <w:rPr>
                <w:rFonts w:hint="eastAsia"/>
                <w:color w:val="auto"/>
              </w:rPr>
              <w:t>m³/a</w:t>
            </w:r>
            <w:r>
              <w:rPr>
                <w:rFonts w:hint="eastAsia"/>
                <w:color w:val="auto"/>
                <w:lang w:eastAsia="zh-CN"/>
              </w:rPr>
              <w:t>，可用于灌溉的面积约为</w:t>
            </w:r>
            <w:r>
              <w:rPr>
                <w:rFonts w:hint="eastAsia"/>
                <w:color w:val="auto"/>
                <w:lang w:val="en-US" w:eastAsia="zh-CN"/>
              </w:rPr>
              <w:t>400m</w:t>
            </w:r>
            <w:r>
              <w:rPr>
                <w:rFonts w:hint="eastAsia"/>
                <w:color w:val="auto"/>
                <w:vertAlign w:val="superscript"/>
                <w:lang w:val="en-US" w:eastAsia="zh-CN"/>
              </w:rPr>
              <w:t>2</w:t>
            </w:r>
            <w:r>
              <w:rPr>
                <w:rFonts w:hint="eastAsia"/>
                <w:color w:val="auto"/>
              </w:rPr>
              <w:t>，</w:t>
            </w:r>
            <w:r>
              <w:rPr>
                <w:rFonts w:hint="eastAsia"/>
                <w:color w:val="auto"/>
                <w:lang w:eastAsia="zh-CN"/>
              </w:rPr>
              <w:t>而项目周边绿化面积远大于</w:t>
            </w:r>
            <w:r>
              <w:rPr>
                <w:rFonts w:hint="eastAsia"/>
                <w:color w:val="auto"/>
                <w:lang w:val="en-US" w:eastAsia="zh-CN"/>
              </w:rPr>
              <w:t>400m</w:t>
            </w:r>
            <w:r>
              <w:rPr>
                <w:rFonts w:hint="eastAsia"/>
                <w:color w:val="auto"/>
                <w:vertAlign w:val="superscript"/>
                <w:lang w:val="en-US" w:eastAsia="zh-CN"/>
              </w:rPr>
              <w:t>2</w:t>
            </w:r>
            <w:r>
              <w:rPr>
                <w:rFonts w:hint="eastAsia"/>
                <w:color w:val="auto"/>
                <w:vertAlign w:val="baseline"/>
                <w:lang w:val="en-US" w:eastAsia="zh-CN"/>
              </w:rPr>
              <w:t>。</w:t>
            </w:r>
            <w:r>
              <w:rPr>
                <w:rFonts w:hint="eastAsia"/>
                <w:color w:val="auto"/>
              </w:rPr>
              <w:t>因此，项目员工生活污水经处理达标后全部回用作周边林地灌溉方案可行。</w:t>
            </w:r>
          </w:p>
          <w:p>
            <w:pPr>
              <w:ind w:firstLine="480"/>
              <w:rPr>
                <w:color w:val="auto"/>
              </w:rPr>
            </w:pPr>
            <w:r>
              <w:rPr>
                <w:rFonts w:hint="eastAsia"/>
                <w:color w:val="auto"/>
                <w:lang w:eastAsia="zh-CN"/>
              </w:rPr>
              <w:t>项目</w:t>
            </w:r>
            <w:r>
              <w:rPr>
                <w:rFonts w:hint="eastAsia"/>
                <w:color w:val="auto"/>
              </w:rPr>
              <w:t>拟</w:t>
            </w:r>
            <w:r>
              <w:rPr>
                <w:rFonts w:hint="eastAsia"/>
                <w:color w:val="auto"/>
                <w:lang w:eastAsia="zh-CN"/>
              </w:rPr>
              <w:t>在水厂内</w:t>
            </w:r>
            <w:r>
              <w:rPr>
                <w:rFonts w:hint="eastAsia"/>
                <w:color w:val="auto"/>
              </w:rPr>
              <w:t>设置一个容积为</w:t>
            </w:r>
            <w:r>
              <w:rPr>
                <w:rFonts w:hint="eastAsia"/>
                <w:color w:val="auto"/>
                <w:lang w:val="en-US" w:eastAsia="zh-CN"/>
              </w:rPr>
              <w:t>5</w:t>
            </w:r>
            <w:r>
              <w:rPr>
                <w:rFonts w:hint="eastAsia"/>
                <w:color w:val="auto"/>
              </w:rPr>
              <w:t>m³的</w:t>
            </w:r>
            <w:r>
              <w:rPr>
                <w:rFonts w:hint="eastAsia"/>
                <w:color w:val="auto"/>
                <w:lang w:eastAsia="zh-CN"/>
              </w:rPr>
              <w:t>暂存池</w:t>
            </w:r>
            <w:r>
              <w:rPr>
                <w:rFonts w:hint="eastAsia"/>
                <w:color w:val="auto"/>
              </w:rPr>
              <w:t>，能容纳约</w:t>
            </w:r>
            <w:r>
              <w:rPr>
                <w:rFonts w:hint="eastAsia"/>
                <w:color w:val="auto"/>
                <w:lang w:val="en-US" w:eastAsia="zh-CN"/>
              </w:rPr>
              <w:t>19</w:t>
            </w:r>
            <w:r>
              <w:rPr>
                <w:rFonts w:hint="eastAsia"/>
                <w:color w:val="auto"/>
              </w:rPr>
              <w:t>天的生活污水，满足雨季时生活污水的暂存，不会对外界环境造成不良影响。</w:t>
            </w:r>
          </w:p>
          <w:p>
            <w:pPr>
              <w:ind w:firstLine="480"/>
              <w:rPr>
                <w:color w:val="auto"/>
              </w:rPr>
            </w:pPr>
            <w:r>
              <w:rPr>
                <w:rFonts w:hint="eastAsia"/>
                <w:color w:val="auto"/>
              </w:rPr>
              <w:t>本工程生活污水经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rFonts w:hint="eastAsia"/>
                <w:color w:val="auto"/>
              </w:rPr>
              <w:t>处理</w:t>
            </w:r>
            <w:r>
              <w:rPr>
                <w:rFonts w:hint="eastAsia"/>
                <w:color w:val="auto"/>
                <w:lang w:eastAsia="zh-CN"/>
              </w:rPr>
              <w:t>后</w:t>
            </w:r>
            <w:r>
              <w:rPr>
                <w:rFonts w:hint="eastAsia"/>
                <w:color w:val="auto"/>
              </w:rPr>
              <w:t>达到《农田灌溉水质标准》（GB5084-2005）旱作标准后回用于周边林地灌溉，不外排，基本不会对周边水环境造成影响，因此，项目对周边水环境影响不大。</w:t>
            </w:r>
          </w:p>
          <w:p>
            <w:pPr>
              <w:pStyle w:val="55"/>
              <w:ind w:firstLine="482"/>
              <w:rPr>
                <w:color w:val="auto"/>
              </w:rPr>
            </w:pPr>
            <w:r>
              <w:rPr>
                <w:rFonts w:hint="eastAsia"/>
                <w:color w:val="auto"/>
              </w:rPr>
              <w:t>二</w:t>
            </w:r>
            <w:r>
              <w:rPr>
                <w:color w:val="auto"/>
              </w:rPr>
              <w:t>、环境空气影响分析</w:t>
            </w:r>
          </w:p>
          <w:p>
            <w:pPr>
              <w:ind w:firstLine="480"/>
              <w:rPr>
                <w:color w:val="auto"/>
              </w:rPr>
            </w:pPr>
            <w:r>
              <w:rPr>
                <w:rFonts w:hint="eastAsia"/>
                <w:color w:val="auto"/>
              </w:rPr>
              <w:t>项目水厂运行过程中，大气污染源主要是厂内食堂产生的油烟废气。</w:t>
            </w:r>
          </w:p>
          <w:p>
            <w:pPr>
              <w:ind w:firstLine="480"/>
              <w:rPr>
                <w:color w:val="auto"/>
              </w:rPr>
            </w:pPr>
            <w:r>
              <w:rPr>
                <w:rFonts w:hint="eastAsia"/>
                <w:color w:val="auto"/>
              </w:rPr>
              <w:t>本项目厨房使用液化气作为燃料，属于清洁燃料，无污染，项目油烟废气主要来自烹饪时厨房产生的油烟。根据工程分析可知，项目食堂厨房油烟废气产生量约</w:t>
            </w:r>
            <w:r>
              <w:rPr>
                <w:color w:val="auto"/>
              </w:rPr>
              <w:t>1.</w:t>
            </w:r>
            <w:r>
              <w:rPr>
                <w:rFonts w:hint="eastAsia"/>
                <w:color w:val="auto"/>
                <w:lang w:val="en-US" w:eastAsia="zh-CN"/>
              </w:rPr>
              <w:t>314</w:t>
            </w:r>
            <w:r>
              <w:rPr>
                <w:color w:val="auto"/>
              </w:rPr>
              <w:t>kg/a</w:t>
            </w:r>
            <w:r>
              <w:rPr>
                <w:rFonts w:hint="eastAsia"/>
                <w:color w:val="auto"/>
              </w:rPr>
              <w:t>，产生浓度为</w:t>
            </w:r>
            <w:r>
              <w:rPr>
                <w:rFonts w:hint="eastAsia"/>
                <w:color w:val="auto"/>
                <w:lang w:val="en-US" w:eastAsia="zh-CN"/>
              </w:rPr>
              <w:t>0.365</w:t>
            </w:r>
            <w:r>
              <w:rPr>
                <w:color w:val="auto"/>
              </w:rPr>
              <w:t>mg/m³</w:t>
            </w:r>
            <w:r>
              <w:rPr>
                <w:rFonts w:hint="eastAsia"/>
                <w:color w:val="auto"/>
              </w:rPr>
              <w:t>。建议采用吸排油烟机收集处理后引至食堂楼顶排放，本评价要求项目采用的吸排油烟机的处理效率在60%，处理后的油烟废气浓度为</w:t>
            </w:r>
            <w:r>
              <w:rPr>
                <w:rFonts w:hint="eastAsia"/>
                <w:color w:val="auto"/>
                <w:lang w:val="en-US" w:eastAsia="zh-CN"/>
              </w:rPr>
              <w:t>0.146</w:t>
            </w:r>
            <w:r>
              <w:rPr>
                <w:color w:val="auto"/>
              </w:rPr>
              <w:t>mg/m³</w:t>
            </w:r>
            <w:r>
              <w:rPr>
                <w:rFonts w:hint="eastAsia"/>
                <w:color w:val="auto"/>
              </w:rPr>
              <w:t>，排放量为</w:t>
            </w:r>
            <w:r>
              <w:rPr>
                <w:color w:val="auto"/>
              </w:rPr>
              <w:t>0.</w:t>
            </w:r>
            <w:r>
              <w:rPr>
                <w:rFonts w:hint="eastAsia"/>
                <w:color w:val="auto"/>
                <w:lang w:val="en-US" w:eastAsia="zh-CN"/>
              </w:rPr>
              <w:t>526</w:t>
            </w:r>
            <w:r>
              <w:rPr>
                <w:color w:val="auto"/>
              </w:rPr>
              <w:t>kg/a</w:t>
            </w:r>
            <w:r>
              <w:rPr>
                <w:rFonts w:hint="eastAsia"/>
                <w:color w:val="auto"/>
              </w:rPr>
              <w:t>，油烟产生量非常少，对周边环境影响不大。</w:t>
            </w:r>
          </w:p>
          <w:p>
            <w:pPr>
              <w:pStyle w:val="55"/>
              <w:ind w:firstLine="482"/>
              <w:rPr>
                <w:color w:val="auto"/>
              </w:rPr>
            </w:pPr>
            <w:r>
              <w:rPr>
                <w:rFonts w:hint="eastAsia"/>
                <w:color w:val="auto"/>
              </w:rPr>
              <w:t>三</w:t>
            </w:r>
            <w:r>
              <w:rPr>
                <w:color w:val="auto"/>
              </w:rPr>
              <w:t xml:space="preserve">、噪声环境影响分析 </w:t>
            </w:r>
          </w:p>
          <w:p>
            <w:pPr>
              <w:ind w:firstLine="480"/>
              <w:rPr>
                <w:color w:val="auto"/>
              </w:rPr>
            </w:pPr>
            <w:r>
              <w:rPr>
                <w:rFonts w:hint="eastAsia"/>
                <w:color w:val="auto"/>
              </w:rPr>
              <w:t>项目属于声环境功能2类区，根据</w:t>
            </w:r>
            <w:r>
              <w:rPr>
                <w:color w:val="auto"/>
              </w:rPr>
              <w:t>《环境影响评价技术导则-声环境》（HJ2.4-2009）</w:t>
            </w:r>
            <w:r>
              <w:rPr>
                <w:rFonts w:hint="eastAsia"/>
                <w:color w:val="auto"/>
              </w:rPr>
              <w:t>5.2.4</w:t>
            </w:r>
            <w:r>
              <w:rPr>
                <w:color w:val="auto"/>
              </w:rPr>
              <w:t>，项目声环境影响评价工作</w:t>
            </w:r>
            <w:r>
              <w:rPr>
                <w:rFonts w:hint="eastAsia"/>
                <w:color w:val="auto"/>
              </w:rPr>
              <w:t>等级</w:t>
            </w:r>
            <w:r>
              <w:rPr>
                <w:color w:val="auto"/>
              </w:rPr>
              <w:t>为</w:t>
            </w:r>
            <w:r>
              <w:rPr>
                <w:rFonts w:hint="eastAsia"/>
                <w:color w:val="auto"/>
              </w:rPr>
              <w:t>二</w:t>
            </w:r>
            <w:r>
              <w:rPr>
                <w:color w:val="auto"/>
              </w:rPr>
              <w:t>级。</w:t>
            </w:r>
          </w:p>
          <w:p>
            <w:pPr>
              <w:ind w:firstLine="480"/>
              <w:rPr>
                <w:color w:val="auto"/>
              </w:rPr>
            </w:pPr>
            <w:r>
              <w:rPr>
                <w:color w:val="auto"/>
              </w:rPr>
              <w:t>本项目噪声主要来为脱水间的运行噪声和风机等机械设备运行产生的噪声，其噪声强度约为80~90dB（A）。</w:t>
            </w:r>
            <w:r>
              <w:rPr>
                <w:snapToGrid w:val="0"/>
                <w:color w:val="auto"/>
                <w:kern w:val="0"/>
              </w:rPr>
              <w:t>预测拟将风机、</w:t>
            </w:r>
            <w:r>
              <w:rPr>
                <w:color w:val="auto"/>
              </w:rPr>
              <w:t>脱水间的运行噪声</w:t>
            </w:r>
            <w:r>
              <w:rPr>
                <w:snapToGrid w:val="0"/>
                <w:color w:val="auto"/>
                <w:kern w:val="0"/>
              </w:rPr>
              <w:t>的看作点声源。因此，噪声预测模式采用《环境影响评价技术导则 声环境》（HJ2.4-2009）中室外点声源预测模式</w:t>
            </w:r>
            <w:r>
              <w:rPr>
                <w:color w:val="auto"/>
              </w:rPr>
              <w:t>，并参照最为不利时气象条件等修正值进行计算，噪声从声源传播到受声点，受传播距离、空气吸收、阻挡物的反射与屏蔽等因素的影响，声能逐渐衰减。根据《环境影响评价技术导则 声环境》（HJ2.4-2009），噪声预测模式为：</w:t>
            </w:r>
          </w:p>
          <w:p>
            <w:pPr>
              <w:ind w:firstLine="480"/>
              <w:rPr>
                <w:color w:val="auto"/>
              </w:rPr>
            </w:pPr>
            <w:r>
              <w:rPr>
                <w:color w:val="auto"/>
              </w:rPr>
              <w:t>对噪声源主要考虑噪声的几何发散衰减及环境因素衰减：</w:t>
            </w:r>
          </w:p>
          <w:p>
            <w:pPr>
              <w:pStyle w:val="57"/>
              <w:rPr>
                <w:color w:val="auto"/>
                <w:sz w:val="24"/>
              </w:rPr>
            </w:pPr>
            <w:r>
              <w:rPr>
                <w:color w:val="auto"/>
              </w:rPr>
              <w:drawing>
                <wp:inline distT="0" distB="0" distL="0" distR="0">
                  <wp:extent cx="2282190" cy="381635"/>
                  <wp:effectExtent l="0" t="0" r="3810" b="0"/>
                  <wp:docPr id="6" name="图片 6" descr="D@VDN`O[EJ$TM@FS4JYRLV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VDN`O[EJ$TM@FS4JYRLV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282190" cy="381635"/>
                          </a:xfrm>
                          <a:prstGeom prst="rect">
                            <a:avLst/>
                          </a:prstGeom>
                          <a:noFill/>
                          <a:ln>
                            <a:noFill/>
                          </a:ln>
                        </pic:spPr>
                      </pic:pic>
                    </a:graphicData>
                  </a:graphic>
                </wp:inline>
              </w:drawing>
            </w:r>
          </w:p>
          <w:p>
            <w:pPr>
              <w:ind w:firstLine="480"/>
              <w:rPr>
                <w:color w:val="auto"/>
                <w:lang w:val="pt-BR"/>
              </w:rPr>
            </w:pPr>
            <w:r>
              <w:rPr>
                <w:color w:val="auto"/>
              </w:rPr>
              <w:t>式中</w:t>
            </w:r>
            <w:r>
              <w:rPr>
                <w:color w:val="auto"/>
                <w:lang w:val="pt-BR"/>
              </w:rPr>
              <w:t>：Lp（r）——</w:t>
            </w:r>
            <w:r>
              <w:rPr>
                <w:color w:val="auto"/>
              </w:rPr>
              <w:t>距声源</w:t>
            </w:r>
            <w:r>
              <w:rPr>
                <w:color w:val="auto"/>
                <w:lang w:val="pt-BR"/>
              </w:rPr>
              <w:t>r</w:t>
            </w:r>
            <w:r>
              <w:rPr>
                <w:color w:val="auto"/>
              </w:rPr>
              <w:t>处的声压级</w:t>
            </w:r>
            <w:r>
              <w:rPr>
                <w:color w:val="auto"/>
                <w:lang w:val="pt-BR"/>
              </w:rPr>
              <w:t>，dB（A）；</w:t>
            </w:r>
          </w:p>
          <w:p>
            <w:pPr>
              <w:ind w:firstLine="1200" w:firstLineChars="500"/>
              <w:rPr>
                <w:color w:val="auto"/>
                <w:lang w:val="pt-BR"/>
              </w:rPr>
            </w:pPr>
            <w:r>
              <w:rPr>
                <w:color w:val="auto"/>
                <w:lang w:val="pt-BR"/>
              </w:rPr>
              <w:t>Lp（r</w:t>
            </w:r>
            <w:r>
              <w:rPr>
                <w:color w:val="auto"/>
                <w:vertAlign w:val="subscript"/>
                <w:lang w:val="pt-BR"/>
              </w:rPr>
              <w:t>0</w:t>
            </w:r>
            <w:r>
              <w:rPr>
                <w:color w:val="auto"/>
                <w:lang w:val="pt-BR"/>
              </w:rPr>
              <w:t>）——</w:t>
            </w:r>
            <w:r>
              <w:rPr>
                <w:color w:val="auto"/>
              </w:rPr>
              <w:t>距声源</w:t>
            </w:r>
            <w:r>
              <w:rPr>
                <w:color w:val="auto"/>
                <w:lang w:val="pt-BR"/>
              </w:rPr>
              <w:t>r</w:t>
            </w:r>
            <w:r>
              <w:rPr>
                <w:color w:val="auto"/>
                <w:vertAlign w:val="subscript"/>
                <w:lang w:val="pt-BR"/>
              </w:rPr>
              <w:t>1</w:t>
            </w:r>
            <w:r>
              <w:rPr>
                <w:color w:val="auto"/>
              </w:rPr>
              <w:t>处的声压级</w:t>
            </w:r>
            <w:r>
              <w:rPr>
                <w:color w:val="auto"/>
                <w:lang w:val="pt-BR"/>
              </w:rPr>
              <w:t>，dB（A）；</w:t>
            </w:r>
          </w:p>
          <w:p>
            <w:pPr>
              <w:ind w:firstLine="1200" w:firstLineChars="500"/>
              <w:rPr>
                <w:color w:val="auto"/>
              </w:rPr>
            </w:pPr>
            <w:r>
              <w:rPr>
                <w:color w:val="auto"/>
              </w:rPr>
              <w:t>r——测量参考声级处与点声源之间的距离；</w:t>
            </w:r>
          </w:p>
          <w:p>
            <w:pPr>
              <w:ind w:firstLine="1200" w:firstLineChars="500"/>
              <w:rPr>
                <w:color w:val="auto"/>
              </w:rPr>
            </w:pPr>
            <w:r>
              <w:rPr>
                <w:color w:val="auto"/>
              </w:rPr>
              <w:t>r</w:t>
            </w:r>
            <w:r>
              <w:rPr>
                <w:color w:val="auto"/>
                <w:vertAlign w:val="subscript"/>
                <w:lang w:val="pt-BR"/>
              </w:rPr>
              <w:t>0</w:t>
            </w:r>
            <w:r>
              <w:rPr>
                <w:color w:val="auto"/>
              </w:rPr>
              <w:t>——预测点与点声源之间的距离，m。</w:t>
            </w:r>
          </w:p>
          <w:p>
            <w:pPr>
              <w:ind w:firstLine="480"/>
              <w:rPr>
                <w:snapToGrid w:val="0"/>
                <w:color w:val="auto"/>
                <w:kern w:val="0"/>
              </w:rPr>
            </w:pPr>
            <w:r>
              <w:rPr>
                <w:color w:val="auto"/>
              </w:rPr>
              <w:t>对项目厂界进行了噪声预测，预测范围与现状评价范围一致，预测结果下表</w:t>
            </w:r>
            <w:r>
              <w:rPr>
                <w:snapToGrid w:val="0"/>
                <w:color w:val="auto"/>
                <w:kern w:val="0"/>
              </w:rPr>
              <w:t>。</w:t>
            </w:r>
          </w:p>
          <w:p>
            <w:pPr>
              <w:pStyle w:val="56"/>
              <w:rPr>
                <w:color w:val="auto"/>
              </w:rPr>
            </w:pPr>
            <w:r>
              <w:rPr>
                <w:color w:val="auto"/>
              </w:rPr>
              <w:t>表</w:t>
            </w:r>
            <w:r>
              <w:rPr>
                <w:rFonts w:hint="eastAsia"/>
                <w:color w:val="auto"/>
                <w:lang w:val="en-US" w:eastAsia="zh-CN"/>
              </w:rPr>
              <w:t>7-2</w:t>
            </w:r>
            <w:r>
              <w:rPr>
                <w:color w:val="auto"/>
              </w:rPr>
              <w:t xml:space="preserve">  项目边界噪声预测值 </w:t>
            </w:r>
            <w:r>
              <w:rPr>
                <w:rFonts w:hint="eastAsia"/>
                <w:color w:val="auto"/>
              </w:rPr>
              <w:t xml:space="preserve"> </w:t>
            </w:r>
            <w:r>
              <w:rPr>
                <w:color w:val="auto"/>
              </w:rPr>
              <w:t xml:space="preserve"> 单位：dB（A）</w:t>
            </w:r>
          </w:p>
          <w:tbl>
            <w:tblPr>
              <w:tblStyle w:val="39"/>
              <w:tblW w:w="8494" w:type="dxa"/>
              <w:jc w:val="center"/>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174"/>
              <w:gridCol w:w="1644"/>
              <w:gridCol w:w="1430"/>
              <w:gridCol w:w="1904"/>
              <w:gridCol w:w="1342"/>
            </w:tblGrid>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2174" w:type="dxa"/>
                  <w:vMerge w:val="restart"/>
                  <w:vAlign w:val="center"/>
                </w:tcPr>
                <w:p>
                  <w:pPr>
                    <w:pStyle w:val="57"/>
                    <w:rPr>
                      <w:color w:val="auto"/>
                    </w:rPr>
                  </w:pPr>
                  <w:r>
                    <w:rPr>
                      <w:color w:val="auto"/>
                    </w:rPr>
                    <w:t>位置</w:t>
                  </w:r>
                </w:p>
              </w:tc>
              <w:tc>
                <w:tcPr>
                  <w:tcW w:w="3074" w:type="dxa"/>
                  <w:gridSpan w:val="2"/>
                  <w:vAlign w:val="center"/>
                </w:tcPr>
                <w:p>
                  <w:pPr>
                    <w:pStyle w:val="57"/>
                    <w:rPr>
                      <w:color w:val="auto"/>
                    </w:rPr>
                  </w:pPr>
                  <w:r>
                    <w:rPr>
                      <w:color w:val="auto"/>
                    </w:rPr>
                    <w:t>昼间</w:t>
                  </w:r>
                </w:p>
              </w:tc>
              <w:tc>
                <w:tcPr>
                  <w:tcW w:w="3246" w:type="dxa"/>
                  <w:gridSpan w:val="2"/>
                  <w:vAlign w:val="center"/>
                </w:tcPr>
                <w:p>
                  <w:pPr>
                    <w:pStyle w:val="57"/>
                    <w:rPr>
                      <w:color w:val="auto"/>
                    </w:rPr>
                  </w:pPr>
                  <w:r>
                    <w:rPr>
                      <w:color w:val="auto"/>
                    </w:rPr>
                    <w:t>夜间</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2174" w:type="dxa"/>
                  <w:vMerge w:val="continue"/>
                  <w:vAlign w:val="center"/>
                </w:tcPr>
                <w:p>
                  <w:pPr>
                    <w:pStyle w:val="57"/>
                    <w:rPr>
                      <w:color w:val="auto"/>
                    </w:rPr>
                  </w:pPr>
                </w:p>
              </w:tc>
              <w:tc>
                <w:tcPr>
                  <w:tcW w:w="1644" w:type="dxa"/>
                  <w:vAlign w:val="center"/>
                </w:tcPr>
                <w:p>
                  <w:pPr>
                    <w:pStyle w:val="57"/>
                    <w:rPr>
                      <w:color w:val="auto"/>
                    </w:rPr>
                  </w:pPr>
                  <w:r>
                    <w:rPr>
                      <w:color w:val="auto"/>
                    </w:rPr>
                    <w:t>贡献值</w:t>
                  </w:r>
                </w:p>
              </w:tc>
              <w:tc>
                <w:tcPr>
                  <w:tcW w:w="1430" w:type="dxa"/>
                  <w:vAlign w:val="center"/>
                </w:tcPr>
                <w:p>
                  <w:pPr>
                    <w:pStyle w:val="57"/>
                    <w:rPr>
                      <w:color w:val="auto"/>
                    </w:rPr>
                  </w:pPr>
                  <w:r>
                    <w:rPr>
                      <w:color w:val="auto"/>
                    </w:rPr>
                    <w:t>达标情况</w:t>
                  </w:r>
                </w:p>
              </w:tc>
              <w:tc>
                <w:tcPr>
                  <w:tcW w:w="1904" w:type="dxa"/>
                  <w:vAlign w:val="center"/>
                </w:tcPr>
                <w:p>
                  <w:pPr>
                    <w:pStyle w:val="57"/>
                    <w:rPr>
                      <w:color w:val="auto"/>
                    </w:rPr>
                  </w:pPr>
                  <w:r>
                    <w:rPr>
                      <w:color w:val="auto"/>
                    </w:rPr>
                    <w:t>贡献值</w:t>
                  </w:r>
                </w:p>
              </w:tc>
              <w:tc>
                <w:tcPr>
                  <w:tcW w:w="1342" w:type="dxa"/>
                  <w:vAlign w:val="center"/>
                </w:tcPr>
                <w:p>
                  <w:pPr>
                    <w:pStyle w:val="57"/>
                    <w:rPr>
                      <w:color w:val="auto"/>
                      <w:highlight w:val="green"/>
                    </w:rPr>
                  </w:pPr>
                  <w:r>
                    <w:rPr>
                      <w:color w:val="auto"/>
                    </w:rPr>
                    <w:t>达标情况</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2174" w:type="dxa"/>
                  <w:vAlign w:val="center"/>
                </w:tcPr>
                <w:p>
                  <w:pPr>
                    <w:pStyle w:val="57"/>
                    <w:rPr>
                      <w:color w:val="auto"/>
                    </w:rPr>
                  </w:pPr>
                  <w:r>
                    <w:rPr>
                      <w:color w:val="auto"/>
                    </w:rPr>
                    <w:t>项目厂界北侧外1m</w:t>
                  </w:r>
                </w:p>
              </w:tc>
              <w:tc>
                <w:tcPr>
                  <w:tcW w:w="164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39.43</w:t>
                  </w:r>
                </w:p>
              </w:tc>
              <w:tc>
                <w:tcPr>
                  <w:tcW w:w="1430" w:type="dxa"/>
                  <w:vAlign w:val="center"/>
                </w:tcPr>
                <w:p>
                  <w:pPr>
                    <w:pStyle w:val="57"/>
                    <w:rPr>
                      <w:color w:val="auto"/>
                      <w:szCs w:val="22"/>
                    </w:rPr>
                  </w:pPr>
                  <w:r>
                    <w:rPr>
                      <w:color w:val="auto"/>
                      <w:szCs w:val="22"/>
                    </w:rPr>
                    <w:t>达标</w:t>
                  </w:r>
                </w:p>
              </w:tc>
              <w:tc>
                <w:tcPr>
                  <w:tcW w:w="190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39.43</w:t>
                  </w:r>
                </w:p>
              </w:tc>
              <w:tc>
                <w:tcPr>
                  <w:tcW w:w="1342" w:type="dxa"/>
                  <w:vAlign w:val="center"/>
                </w:tcPr>
                <w:p>
                  <w:pPr>
                    <w:pStyle w:val="57"/>
                    <w:rPr>
                      <w:color w:val="auto"/>
                    </w:rPr>
                  </w:pPr>
                  <w:r>
                    <w:rPr>
                      <w:color w:val="auto"/>
                    </w:rPr>
                    <w:t>达标</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2174" w:type="dxa"/>
                  <w:vAlign w:val="center"/>
                </w:tcPr>
                <w:p>
                  <w:pPr>
                    <w:pStyle w:val="57"/>
                    <w:rPr>
                      <w:color w:val="auto"/>
                    </w:rPr>
                  </w:pPr>
                  <w:r>
                    <w:rPr>
                      <w:color w:val="auto"/>
                    </w:rPr>
                    <w:t>项目厂界东侧外1m</w:t>
                  </w:r>
                </w:p>
              </w:tc>
              <w:tc>
                <w:tcPr>
                  <w:tcW w:w="164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32.17</w:t>
                  </w:r>
                </w:p>
              </w:tc>
              <w:tc>
                <w:tcPr>
                  <w:tcW w:w="1430" w:type="dxa"/>
                  <w:vAlign w:val="center"/>
                </w:tcPr>
                <w:p>
                  <w:pPr>
                    <w:pStyle w:val="57"/>
                    <w:rPr>
                      <w:color w:val="auto"/>
                      <w:szCs w:val="22"/>
                    </w:rPr>
                  </w:pPr>
                  <w:r>
                    <w:rPr>
                      <w:color w:val="auto"/>
                      <w:szCs w:val="22"/>
                    </w:rPr>
                    <w:t>达标</w:t>
                  </w:r>
                </w:p>
              </w:tc>
              <w:tc>
                <w:tcPr>
                  <w:tcW w:w="190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32.17</w:t>
                  </w:r>
                </w:p>
              </w:tc>
              <w:tc>
                <w:tcPr>
                  <w:tcW w:w="1342" w:type="dxa"/>
                  <w:vAlign w:val="center"/>
                </w:tcPr>
                <w:p>
                  <w:pPr>
                    <w:pStyle w:val="57"/>
                    <w:rPr>
                      <w:color w:val="auto"/>
                    </w:rPr>
                  </w:pPr>
                  <w:r>
                    <w:rPr>
                      <w:color w:val="auto"/>
                    </w:rPr>
                    <w:t>达标</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2174" w:type="dxa"/>
                  <w:vAlign w:val="center"/>
                </w:tcPr>
                <w:p>
                  <w:pPr>
                    <w:pStyle w:val="57"/>
                    <w:rPr>
                      <w:color w:val="auto"/>
                    </w:rPr>
                  </w:pPr>
                  <w:r>
                    <w:rPr>
                      <w:color w:val="auto"/>
                    </w:rPr>
                    <w:t>项目厂界南侧外1m</w:t>
                  </w:r>
                </w:p>
              </w:tc>
              <w:tc>
                <w:tcPr>
                  <w:tcW w:w="164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27.04</w:t>
                  </w:r>
                </w:p>
              </w:tc>
              <w:tc>
                <w:tcPr>
                  <w:tcW w:w="1430" w:type="dxa"/>
                  <w:vAlign w:val="center"/>
                </w:tcPr>
                <w:p>
                  <w:pPr>
                    <w:pStyle w:val="57"/>
                    <w:rPr>
                      <w:color w:val="auto"/>
                      <w:szCs w:val="22"/>
                    </w:rPr>
                  </w:pPr>
                  <w:r>
                    <w:rPr>
                      <w:color w:val="auto"/>
                      <w:szCs w:val="22"/>
                    </w:rPr>
                    <w:t>达标</w:t>
                  </w:r>
                </w:p>
              </w:tc>
              <w:tc>
                <w:tcPr>
                  <w:tcW w:w="190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27.04</w:t>
                  </w:r>
                </w:p>
              </w:tc>
              <w:tc>
                <w:tcPr>
                  <w:tcW w:w="1342" w:type="dxa"/>
                  <w:vAlign w:val="center"/>
                </w:tcPr>
                <w:p>
                  <w:pPr>
                    <w:pStyle w:val="57"/>
                    <w:rPr>
                      <w:color w:val="auto"/>
                    </w:rPr>
                  </w:pPr>
                  <w:r>
                    <w:rPr>
                      <w:color w:val="auto"/>
                    </w:rPr>
                    <w:t>达标</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2174" w:type="dxa"/>
                  <w:vAlign w:val="center"/>
                </w:tcPr>
                <w:p>
                  <w:pPr>
                    <w:pStyle w:val="57"/>
                    <w:rPr>
                      <w:color w:val="auto"/>
                    </w:rPr>
                  </w:pPr>
                  <w:r>
                    <w:rPr>
                      <w:color w:val="auto"/>
                    </w:rPr>
                    <w:t>项目厂界西侧外1m</w:t>
                  </w:r>
                </w:p>
              </w:tc>
              <w:tc>
                <w:tcPr>
                  <w:tcW w:w="164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35.31</w:t>
                  </w:r>
                </w:p>
              </w:tc>
              <w:tc>
                <w:tcPr>
                  <w:tcW w:w="1430" w:type="dxa"/>
                  <w:vAlign w:val="center"/>
                </w:tcPr>
                <w:p>
                  <w:pPr>
                    <w:pStyle w:val="57"/>
                    <w:rPr>
                      <w:color w:val="auto"/>
                      <w:szCs w:val="22"/>
                    </w:rPr>
                  </w:pPr>
                  <w:r>
                    <w:rPr>
                      <w:color w:val="auto"/>
                      <w:szCs w:val="22"/>
                    </w:rPr>
                    <w:t>达标</w:t>
                  </w:r>
                </w:p>
              </w:tc>
              <w:tc>
                <w:tcPr>
                  <w:tcW w:w="1904" w:type="dxa"/>
                  <w:vAlign w:val="center"/>
                </w:tcPr>
                <w:p>
                  <w:pPr>
                    <w:pStyle w:val="57"/>
                    <w:rPr>
                      <w:color w:val="auto"/>
                      <w:szCs w:val="22"/>
                    </w:rPr>
                  </w:pPr>
                  <w:r>
                    <w:rPr>
                      <w:rFonts w:ascii="Times New Roman" w:hAnsi="Times New Roman" w:eastAsia="宋体" w:cstheme="minorBidi"/>
                      <w:color w:val="auto"/>
                      <w:kern w:val="2"/>
                      <w:sz w:val="21"/>
                      <w:szCs w:val="22"/>
                      <w:lang w:val="en-US" w:eastAsia="zh-CN" w:bidi="ar"/>
                    </w:rPr>
                    <w:t>35.31</w:t>
                  </w:r>
                </w:p>
              </w:tc>
              <w:tc>
                <w:tcPr>
                  <w:tcW w:w="1342" w:type="dxa"/>
                  <w:vAlign w:val="center"/>
                </w:tcPr>
                <w:p>
                  <w:pPr>
                    <w:pStyle w:val="57"/>
                    <w:rPr>
                      <w:color w:val="auto"/>
                    </w:rPr>
                  </w:pPr>
                  <w:r>
                    <w:rPr>
                      <w:color w:val="auto"/>
                    </w:rPr>
                    <w:t>达标</w:t>
                  </w:r>
                </w:p>
              </w:tc>
            </w:tr>
          </w:tbl>
          <w:p>
            <w:pPr>
              <w:pStyle w:val="119"/>
              <w:spacing w:before="0" w:line="360" w:lineRule="auto"/>
              <w:ind w:firstLine="0" w:firstLineChars="0"/>
              <w:jc w:val="center"/>
              <w:rPr>
                <w:snapToGrid w:val="0"/>
                <w:color w:val="auto"/>
                <w:kern w:val="0"/>
              </w:rPr>
            </w:pPr>
            <w:r>
              <w:rPr>
                <w:color w:val="auto"/>
              </w:rPr>
              <w:drawing>
                <wp:inline distT="0" distB="0" distL="114300" distR="114300">
                  <wp:extent cx="5198745" cy="3804285"/>
                  <wp:effectExtent l="0" t="0" r="1905" b="571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8"/>
                          <a:stretch>
                            <a:fillRect/>
                          </a:stretch>
                        </pic:blipFill>
                        <pic:spPr>
                          <a:xfrm>
                            <a:off x="0" y="0"/>
                            <a:ext cx="5198745" cy="3804285"/>
                          </a:xfrm>
                          <a:prstGeom prst="rect">
                            <a:avLst/>
                          </a:prstGeom>
                          <a:noFill/>
                          <a:ln>
                            <a:noFill/>
                          </a:ln>
                        </pic:spPr>
                      </pic:pic>
                    </a:graphicData>
                  </a:graphic>
                </wp:inline>
              </w:drawing>
            </w:r>
          </w:p>
          <w:p>
            <w:pPr>
              <w:pStyle w:val="119"/>
              <w:spacing w:before="0" w:line="360" w:lineRule="auto"/>
              <w:ind w:firstLine="482" w:firstLineChars="200"/>
              <w:jc w:val="center"/>
              <w:rPr>
                <w:rFonts w:hint="default" w:eastAsia="宋体"/>
                <w:b/>
                <w:bCs/>
                <w:snapToGrid w:val="0"/>
                <w:color w:val="auto"/>
                <w:kern w:val="0"/>
                <w:lang w:val="en-US" w:eastAsia="zh-CN"/>
              </w:rPr>
            </w:pPr>
            <w:r>
              <w:rPr>
                <w:rFonts w:hint="eastAsia"/>
                <w:b/>
                <w:bCs/>
                <w:snapToGrid w:val="0"/>
                <w:color w:val="auto"/>
                <w:kern w:val="0"/>
                <w:lang w:eastAsia="zh-CN"/>
              </w:rPr>
              <w:t>图</w:t>
            </w:r>
            <w:r>
              <w:rPr>
                <w:rFonts w:hint="eastAsia"/>
                <w:b/>
                <w:bCs/>
                <w:snapToGrid w:val="0"/>
                <w:color w:val="auto"/>
                <w:kern w:val="0"/>
                <w:lang w:val="en-US" w:eastAsia="zh-CN"/>
              </w:rPr>
              <w:t>4  新建水厂营运期预测图</w:t>
            </w:r>
          </w:p>
          <w:p>
            <w:pPr>
              <w:pStyle w:val="119"/>
              <w:spacing w:before="0" w:line="360" w:lineRule="auto"/>
              <w:ind w:firstLine="480" w:firstLineChars="200"/>
              <w:rPr>
                <w:color w:val="auto"/>
              </w:rPr>
            </w:pPr>
            <w:r>
              <w:rPr>
                <w:snapToGrid w:val="0"/>
                <w:color w:val="auto"/>
                <w:kern w:val="0"/>
              </w:rPr>
              <w:t>由上表可知，水厂</w:t>
            </w:r>
            <w:r>
              <w:rPr>
                <w:rFonts w:hint="eastAsia"/>
                <w:snapToGrid w:val="0"/>
                <w:color w:val="auto"/>
                <w:kern w:val="0"/>
              </w:rPr>
              <w:t>建成后</w:t>
            </w:r>
            <w:r>
              <w:rPr>
                <w:snapToGrid w:val="0"/>
                <w:color w:val="auto"/>
                <w:kern w:val="0"/>
              </w:rPr>
              <w:t>，在</w:t>
            </w:r>
            <w:r>
              <w:rPr>
                <w:color w:val="auto"/>
              </w:rPr>
              <w:t>考虑</w:t>
            </w:r>
            <w:r>
              <w:rPr>
                <w:snapToGrid w:val="0"/>
                <w:color w:val="auto"/>
                <w:kern w:val="0"/>
              </w:rPr>
              <w:t>墙体、厂房、绿化阻隔降噪的情况下</w:t>
            </w:r>
            <w:r>
              <w:rPr>
                <w:rFonts w:hint="eastAsia"/>
                <w:snapToGrid w:val="0"/>
                <w:color w:val="auto"/>
                <w:kern w:val="0"/>
              </w:rPr>
              <w:t>，水厂厂界的最大贡献值为</w:t>
            </w:r>
            <w:r>
              <w:rPr>
                <w:rFonts w:hint="eastAsia"/>
                <w:snapToGrid w:val="0"/>
                <w:color w:val="auto"/>
                <w:kern w:val="0"/>
                <w:lang w:val="en-US" w:eastAsia="zh-CN"/>
              </w:rPr>
              <w:t>39.43</w:t>
            </w:r>
            <w:r>
              <w:rPr>
                <w:rFonts w:hint="eastAsia"/>
                <w:snapToGrid w:val="0"/>
                <w:color w:val="auto"/>
                <w:kern w:val="0"/>
              </w:rPr>
              <w:t>dB（A）</w:t>
            </w:r>
            <w:r>
              <w:rPr>
                <w:rFonts w:hint="eastAsia"/>
                <w:snapToGrid w:val="0"/>
                <w:color w:val="auto"/>
                <w:kern w:val="0"/>
                <w:lang w:eastAsia="zh-CN"/>
              </w:rPr>
              <w:t>，</w:t>
            </w:r>
            <w:r>
              <w:rPr>
                <w:snapToGrid w:val="0"/>
                <w:color w:val="auto"/>
                <w:kern w:val="0"/>
              </w:rPr>
              <w:t>昼、夜间噪声满足《工业企业厂界环境噪声排放标准》（GB12348-2008）</w:t>
            </w:r>
            <w:r>
              <w:rPr>
                <w:color w:val="auto"/>
              </w:rPr>
              <w:t>中的</w:t>
            </w:r>
            <w:r>
              <w:rPr>
                <w:rFonts w:hint="eastAsia"/>
                <w:color w:val="auto"/>
              </w:rPr>
              <w:t>2</w:t>
            </w:r>
            <w:r>
              <w:rPr>
                <w:color w:val="auto"/>
              </w:rPr>
              <w:t>类标准，对环境影响不大。</w:t>
            </w:r>
            <w:r>
              <w:rPr>
                <w:rFonts w:hint="eastAsia"/>
                <w:snapToGrid w:val="0"/>
                <w:color w:val="auto"/>
                <w:kern w:val="0"/>
              </w:rPr>
              <w:t>项目的高噪声设备需通过加蓬密封，采取消声、吸声、减振等降噪措施，以达到隔声、降噪效果</w:t>
            </w:r>
            <w:r>
              <w:rPr>
                <w:color w:val="auto"/>
              </w:rPr>
              <w:t>。</w:t>
            </w:r>
          </w:p>
          <w:p>
            <w:pPr>
              <w:pStyle w:val="55"/>
              <w:ind w:firstLine="482"/>
              <w:rPr>
                <w:color w:val="auto"/>
              </w:rPr>
            </w:pPr>
            <w:r>
              <w:rPr>
                <w:rFonts w:hint="eastAsia"/>
                <w:color w:val="auto"/>
              </w:rPr>
              <w:t>四</w:t>
            </w:r>
            <w:r>
              <w:rPr>
                <w:color w:val="auto"/>
              </w:rPr>
              <w:t>、固体废物环境影响分析</w:t>
            </w:r>
          </w:p>
          <w:p>
            <w:pPr>
              <w:ind w:firstLine="480"/>
              <w:rPr>
                <w:color w:val="auto"/>
              </w:rPr>
            </w:pPr>
            <w:r>
              <w:rPr>
                <w:color w:val="auto"/>
              </w:rPr>
              <w:t>项目产生的固体废弃物主要为员工生活垃圾</w:t>
            </w:r>
            <w:r>
              <w:rPr>
                <w:rFonts w:hint="eastAsia"/>
                <w:color w:val="auto"/>
              </w:rPr>
              <w:t>、</w:t>
            </w:r>
            <w:r>
              <w:rPr>
                <w:rFonts w:hint="eastAsia"/>
                <w:color w:val="auto"/>
                <w:szCs w:val="24"/>
              </w:rPr>
              <w:t>废包装材料以及</w:t>
            </w:r>
            <w:r>
              <w:rPr>
                <w:rFonts w:hint="eastAsia"/>
                <w:color w:val="auto"/>
              </w:rPr>
              <w:t>净化过滤池沉渣</w:t>
            </w:r>
            <w:r>
              <w:rPr>
                <w:color w:val="auto"/>
              </w:rPr>
              <w:t>。</w:t>
            </w:r>
            <w:r>
              <w:rPr>
                <w:rFonts w:hint="eastAsia"/>
                <w:color w:val="auto"/>
                <w:szCs w:val="24"/>
              </w:rPr>
              <w:t>员工生活垃圾定点收集后</w:t>
            </w:r>
            <w:r>
              <w:rPr>
                <w:color w:val="auto"/>
              </w:rPr>
              <w:t>交</w:t>
            </w:r>
            <w:r>
              <w:rPr>
                <w:rFonts w:hint="eastAsia"/>
                <w:color w:val="auto"/>
              </w:rPr>
              <w:t>由</w:t>
            </w:r>
            <w:r>
              <w:rPr>
                <w:color w:val="auto"/>
              </w:rPr>
              <w:t>环卫部门处理</w:t>
            </w:r>
            <w:r>
              <w:rPr>
                <w:rFonts w:hint="eastAsia"/>
                <w:color w:val="auto"/>
              </w:rPr>
              <w:t>；</w:t>
            </w:r>
            <w:r>
              <w:rPr>
                <w:rFonts w:hint="eastAsia"/>
                <w:color w:val="auto"/>
                <w:szCs w:val="24"/>
              </w:rPr>
              <w:t>废包装材料暂存一般固废仓</w:t>
            </w:r>
            <w:r>
              <w:rPr>
                <w:rFonts w:hint="eastAsia"/>
                <w:color w:val="auto"/>
                <w:szCs w:val="24"/>
                <w:lang w:eastAsia="zh-CN"/>
              </w:rPr>
              <w:t>，一般固废仓设置在新建水厂管理房中，占地约</w:t>
            </w:r>
            <w:r>
              <w:rPr>
                <w:rFonts w:hint="eastAsia"/>
                <w:color w:val="auto"/>
                <w:szCs w:val="24"/>
                <w:lang w:val="en-US" w:eastAsia="zh-CN"/>
              </w:rPr>
              <w:t>4m</w:t>
            </w:r>
            <w:r>
              <w:rPr>
                <w:rFonts w:hint="eastAsia"/>
                <w:color w:val="auto"/>
                <w:szCs w:val="24"/>
                <w:vertAlign w:val="superscript"/>
                <w:lang w:val="en-US" w:eastAsia="zh-CN"/>
              </w:rPr>
              <w:t>2</w:t>
            </w:r>
            <w:r>
              <w:rPr>
                <w:rFonts w:hint="eastAsia"/>
                <w:color w:val="auto"/>
                <w:szCs w:val="24"/>
              </w:rPr>
              <w:t>，定期</w:t>
            </w:r>
            <w:r>
              <w:rPr>
                <w:rFonts w:hint="eastAsia"/>
                <w:color w:val="auto"/>
              </w:rPr>
              <w:t>交由资源回收单位进行回收处理；净化过滤池沉渣</w:t>
            </w:r>
            <w:r>
              <w:rPr>
                <w:rFonts w:hint="eastAsia"/>
                <w:color w:val="auto"/>
                <w:szCs w:val="24"/>
              </w:rPr>
              <w:t>暂存一般固废仓，定期</w:t>
            </w:r>
            <w:r>
              <w:rPr>
                <w:rFonts w:hint="eastAsia"/>
                <w:color w:val="auto"/>
              </w:rPr>
              <w:t>交由环卫公司运走处理处理</w:t>
            </w:r>
            <w:r>
              <w:rPr>
                <w:color w:val="auto"/>
              </w:rPr>
              <w:t>。</w:t>
            </w:r>
          </w:p>
          <w:p>
            <w:pPr>
              <w:ind w:firstLine="480"/>
              <w:rPr>
                <w:color w:val="auto"/>
              </w:rPr>
            </w:pPr>
            <w:r>
              <w:rPr>
                <w:color w:val="auto"/>
              </w:rPr>
              <w:t>本项目产生的固体废弃物经过分类处理后，对环境影响不大。</w:t>
            </w:r>
          </w:p>
          <w:p>
            <w:pPr>
              <w:pStyle w:val="55"/>
              <w:ind w:firstLine="482"/>
              <w:rPr>
                <w:color w:val="auto"/>
              </w:rPr>
            </w:pPr>
            <w:r>
              <w:rPr>
                <w:rFonts w:hint="eastAsia"/>
                <w:color w:val="auto"/>
                <w:lang w:eastAsia="zh-CN"/>
              </w:rPr>
              <w:t>五</w:t>
            </w:r>
            <w:r>
              <w:rPr>
                <w:rFonts w:hint="eastAsia"/>
                <w:color w:val="auto"/>
              </w:rPr>
              <w:t>、取水对</w:t>
            </w:r>
            <w:r>
              <w:rPr>
                <w:rFonts w:hint="eastAsia"/>
                <w:color w:val="auto"/>
                <w:lang w:eastAsia="zh-CN"/>
              </w:rPr>
              <w:t>八一</w:t>
            </w:r>
            <w:r>
              <w:rPr>
                <w:rFonts w:hint="eastAsia"/>
                <w:color w:val="auto"/>
              </w:rPr>
              <w:t>水库的生态影响</w:t>
            </w:r>
          </w:p>
          <w:p>
            <w:pPr>
              <w:ind w:firstLine="48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）新增取水量对八一水库水生生物的影响</w:t>
            </w:r>
          </w:p>
          <w:p>
            <w:pPr>
              <w:ind w:firstLine="480"/>
              <w:rPr>
                <w:rFonts w:hint="eastAsia"/>
                <w:color w:val="auto"/>
              </w:rPr>
            </w:pPr>
            <w:r>
              <w:rPr>
                <w:rFonts w:hint="eastAsia"/>
                <w:color w:val="auto"/>
              </w:rPr>
              <w:t>根据实地调查，</w:t>
            </w:r>
            <w:r>
              <w:rPr>
                <w:rFonts w:hint="eastAsia"/>
                <w:color w:val="auto"/>
                <w:lang w:eastAsia="zh-CN"/>
              </w:rPr>
              <w:t>八一</w:t>
            </w:r>
            <w:r>
              <w:rPr>
                <w:rFonts w:hint="eastAsia"/>
                <w:color w:val="auto"/>
              </w:rPr>
              <w:t>水库</w:t>
            </w:r>
            <w:r>
              <w:rPr>
                <w:rFonts w:hint="eastAsia"/>
                <w:color w:val="auto"/>
                <w:lang w:eastAsia="zh-CN"/>
              </w:rPr>
              <w:t>范围内</w:t>
            </w:r>
            <w:r>
              <w:rPr>
                <w:rFonts w:hint="eastAsia"/>
                <w:color w:val="auto"/>
              </w:rPr>
              <w:t>没有发现珍稀水生生物及较大经济鱼类产卵场，生物主要以浮游生物为主，取水对其水生生物影响较小。</w:t>
            </w:r>
          </w:p>
          <w:p>
            <w:pPr>
              <w:numPr>
                <w:ilvl w:val="0"/>
                <w:numId w:val="5"/>
              </w:numPr>
              <w:ind w:firstLine="480"/>
              <w:rPr>
                <w:rFonts w:hint="eastAsia"/>
                <w:color w:val="auto"/>
                <w:lang w:eastAsia="zh-CN"/>
              </w:rPr>
            </w:pPr>
            <w:r>
              <w:rPr>
                <w:rFonts w:hint="eastAsia"/>
                <w:color w:val="auto"/>
                <w:lang w:eastAsia="zh-CN"/>
              </w:rPr>
              <w:t>新增取水量对八一水库水量、水质的影响</w:t>
            </w:r>
          </w:p>
          <w:p>
            <w:pPr>
              <w:numPr>
                <w:ilvl w:val="-1"/>
                <w:numId w:val="0"/>
              </w:numPr>
              <w:ind w:firstLine="480" w:firstLineChars="200"/>
              <w:rPr>
                <w:rFonts w:hint="eastAsia"/>
                <w:color w:val="auto"/>
                <w:lang w:eastAsia="zh-CN"/>
              </w:rPr>
            </w:pPr>
            <w:r>
              <w:rPr>
                <w:rFonts w:hint="eastAsia"/>
                <w:color w:val="auto"/>
                <w:lang w:eastAsia="zh-CN"/>
              </w:rPr>
              <w:t>八一</w:t>
            </w:r>
            <w:r>
              <w:rPr>
                <w:rFonts w:hint="eastAsia"/>
                <w:color w:val="auto"/>
              </w:rPr>
              <w:t>水库集水面积</w:t>
            </w:r>
            <w:r>
              <w:rPr>
                <w:rFonts w:hint="eastAsia"/>
                <w:color w:val="auto"/>
                <w:lang w:val="en-US" w:eastAsia="zh-CN"/>
              </w:rPr>
              <w:t>1.2km</w:t>
            </w:r>
            <w:r>
              <w:rPr>
                <w:rFonts w:hint="eastAsia"/>
                <w:color w:val="auto"/>
                <w:vertAlign w:val="superscript"/>
                <w:lang w:val="en-US" w:eastAsia="zh-CN"/>
              </w:rPr>
              <w:t>2</w:t>
            </w:r>
            <w:r>
              <w:rPr>
                <w:rFonts w:hint="eastAsia"/>
                <w:color w:val="auto"/>
              </w:rPr>
              <w:t>，总库容</w:t>
            </w:r>
            <w:r>
              <w:rPr>
                <w:rFonts w:hint="eastAsia"/>
                <w:color w:val="auto"/>
                <w:lang w:val="en-US" w:eastAsia="zh-CN"/>
              </w:rPr>
              <w:t>2</w:t>
            </w:r>
            <w:r>
              <w:rPr>
                <w:rFonts w:hint="eastAsia"/>
                <w:color w:val="auto"/>
              </w:rPr>
              <w:t>8万m³，</w:t>
            </w:r>
            <w:r>
              <w:rPr>
                <w:rFonts w:hint="eastAsia"/>
                <w:color w:val="auto"/>
                <w:lang w:eastAsia="zh-CN"/>
              </w:rPr>
              <w:t>正常库容</w:t>
            </w:r>
            <w:r>
              <w:rPr>
                <w:rFonts w:hint="eastAsia"/>
                <w:color w:val="auto"/>
                <w:lang w:val="en-US" w:eastAsia="zh-CN"/>
              </w:rPr>
              <w:t>18</w:t>
            </w:r>
            <w:r>
              <w:rPr>
                <w:rFonts w:hint="eastAsia"/>
                <w:color w:val="auto"/>
              </w:rPr>
              <w:t>万m³</w:t>
            </w:r>
            <w:r>
              <w:rPr>
                <w:rFonts w:hint="eastAsia"/>
                <w:color w:val="auto"/>
                <w:lang w:eastAsia="zh-CN"/>
              </w:rPr>
              <w:t>，</w:t>
            </w:r>
            <w:r>
              <w:rPr>
                <w:rFonts w:hint="eastAsia"/>
                <w:color w:val="auto"/>
              </w:rPr>
              <w:t>在完成水资源论证报告、征得水利局同意下前提下，</w:t>
            </w:r>
            <w:r>
              <w:rPr>
                <w:rFonts w:hint="eastAsia"/>
                <w:color w:val="auto"/>
                <w:lang w:eastAsia="zh-CN"/>
              </w:rPr>
              <w:t>八一水库新增</w:t>
            </w:r>
            <w:r>
              <w:rPr>
                <w:rFonts w:hint="eastAsia"/>
                <w:color w:val="auto"/>
              </w:rPr>
              <w:t>取水量</w:t>
            </w:r>
            <w:r>
              <w:rPr>
                <w:rFonts w:hint="eastAsia"/>
                <w:color w:val="auto"/>
                <w:lang w:eastAsia="zh-CN"/>
              </w:rPr>
              <w:t>约</w:t>
            </w:r>
            <w:r>
              <w:rPr>
                <w:rFonts w:hint="eastAsia"/>
                <w:color w:val="auto"/>
                <w:lang w:val="en-US" w:eastAsia="zh-CN"/>
              </w:rPr>
              <w:t>606</w:t>
            </w:r>
            <w:r>
              <w:rPr>
                <w:rFonts w:hint="eastAsia"/>
                <w:color w:val="auto"/>
              </w:rPr>
              <w:t>m³/d</w:t>
            </w:r>
            <w:r>
              <w:rPr>
                <w:rFonts w:hint="eastAsia"/>
                <w:color w:val="auto"/>
                <w:lang w:eastAsia="zh-CN"/>
              </w:rPr>
              <w:t>，本项目的取水量相对八一水库总库容较小，且本水厂仅作为西江镇的补充水源，当西江</w:t>
            </w:r>
            <w:r>
              <w:rPr>
                <w:rFonts w:hint="eastAsia"/>
                <w:color w:val="auto"/>
              </w:rPr>
              <w:t>镇区原有水源供应不上或断供时，</w:t>
            </w:r>
            <w:r>
              <w:rPr>
                <w:rFonts w:hint="eastAsia"/>
                <w:color w:val="auto"/>
                <w:lang w:eastAsia="zh-CN"/>
              </w:rPr>
              <w:t>方才</w:t>
            </w:r>
            <w:r>
              <w:rPr>
                <w:rFonts w:hint="eastAsia"/>
                <w:color w:val="auto"/>
              </w:rPr>
              <w:t>启用本水源</w:t>
            </w:r>
            <w:r>
              <w:rPr>
                <w:rFonts w:hint="eastAsia"/>
                <w:color w:val="auto"/>
                <w:lang w:eastAsia="zh-CN"/>
              </w:rPr>
              <w:t>。因此，八一</w:t>
            </w:r>
            <w:r>
              <w:rPr>
                <w:rFonts w:hint="eastAsia"/>
                <w:color w:val="auto"/>
              </w:rPr>
              <w:t>水库的库容能满足取水规模的需求，</w:t>
            </w:r>
            <w:r>
              <w:rPr>
                <w:rFonts w:hint="eastAsia"/>
                <w:color w:val="auto"/>
                <w:lang w:eastAsia="zh-CN"/>
              </w:rPr>
              <w:t>新增</w:t>
            </w:r>
            <w:r>
              <w:rPr>
                <w:rFonts w:hint="eastAsia"/>
                <w:color w:val="auto"/>
              </w:rPr>
              <w:t>取水</w:t>
            </w:r>
            <w:r>
              <w:rPr>
                <w:rFonts w:hint="eastAsia"/>
                <w:color w:val="auto"/>
                <w:lang w:eastAsia="zh-CN"/>
              </w:rPr>
              <w:t>量</w:t>
            </w:r>
            <w:r>
              <w:rPr>
                <w:rFonts w:hint="eastAsia"/>
                <w:color w:val="auto"/>
              </w:rPr>
              <w:t>对</w:t>
            </w:r>
            <w:r>
              <w:rPr>
                <w:rFonts w:hint="eastAsia"/>
                <w:color w:val="auto"/>
                <w:lang w:eastAsia="zh-CN"/>
              </w:rPr>
              <w:t>八一</w:t>
            </w:r>
            <w:r>
              <w:rPr>
                <w:rFonts w:hint="eastAsia"/>
                <w:color w:val="auto"/>
              </w:rPr>
              <w:t>水库</w:t>
            </w:r>
            <w:r>
              <w:rPr>
                <w:rFonts w:hint="eastAsia"/>
                <w:color w:val="auto"/>
                <w:lang w:eastAsia="zh-CN"/>
              </w:rPr>
              <w:t>库容</w:t>
            </w:r>
            <w:r>
              <w:rPr>
                <w:rFonts w:hint="eastAsia"/>
                <w:color w:val="auto"/>
              </w:rPr>
              <w:t>水量影响较小</w:t>
            </w:r>
            <w:r>
              <w:rPr>
                <w:rFonts w:hint="eastAsia"/>
                <w:color w:val="auto"/>
                <w:lang w:eastAsia="zh-CN"/>
              </w:rPr>
              <w:t>。</w:t>
            </w:r>
          </w:p>
          <w:p>
            <w:pPr>
              <w:ind w:firstLine="480"/>
              <w:rPr>
                <w:rFonts w:hint="eastAsia"/>
                <w:color w:val="auto"/>
                <w:lang w:eastAsia="zh-CN"/>
              </w:rPr>
            </w:pPr>
            <w:r>
              <w:rPr>
                <w:rFonts w:hint="eastAsia"/>
                <w:color w:val="auto"/>
                <w:lang w:eastAsia="zh-CN"/>
              </w:rPr>
              <w:t>经检索</w:t>
            </w:r>
            <w:r>
              <w:rPr>
                <w:rFonts w:hint="eastAsia"/>
                <w:color w:val="auto"/>
              </w:rPr>
              <w:t>《广东省地表水环境功能区划》</w:t>
            </w:r>
            <w:r>
              <w:rPr>
                <w:rFonts w:hint="eastAsia"/>
                <w:color w:val="auto"/>
                <w:lang w:eastAsia="zh-CN"/>
              </w:rPr>
              <w:t>可知</w:t>
            </w:r>
            <w:r>
              <w:rPr>
                <w:rFonts w:hint="eastAsia"/>
                <w:color w:val="auto"/>
              </w:rPr>
              <w:t>，</w:t>
            </w:r>
            <w:r>
              <w:rPr>
                <w:rFonts w:hint="eastAsia"/>
                <w:color w:val="auto"/>
                <w:lang w:eastAsia="zh-CN"/>
              </w:rPr>
              <w:t>八一</w:t>
            </w:r>
            <w:r>
              <w:rPr>
                <w:rFonts w:hint="eastAsia"/>
                <w:color w:val="auto"/>
              </w:rPr>
              <w:t>水库暂无水域功能和水质目标规划，且</w:t>
            </w:r>
            <w:r>
              <w:rPr>
                <w:rFonts w:hint="eastAsia"/>
                <w:color w:val="auto"/>
                <w:lang w:eastAsia="zh-CN"/>
              </w:rPr>
              <w:t>八一</w:t>
            </w:r>
            <w:r>
              <w:rPr>
                <w:rFonts w:hint="eastAsia"/>
                <w:color w:val="auto"/>
              </w:rPr>
              <w:t>水库不</w:t>
            </w:r>
            <w:r>
              <w:rPr>
                <w:rFonts w:hint="eastAsia"/>
                <w:color w:val="auto"/>
                <w:lang w:eastAsia="zh-CN"/>
              </w:rPr>
              <w:t>属于集中式饮用水源保护区</w:t>
            </w:r>
            <w:r>
              <w:rPr>
                <w:rFonts w:hint="eastAsia"/>
                <w:color w:val="auto"/>
              </w:rPr>
              <w:t>。根据现场考察，</w:t>
            </w:r>
            <w:r>
              <w:rPr>
                <w:rFonts w:hint="eastAsia"/>
                <w:color w:val="auto"/>
                <w:lang w:eastAsia="zh-CN"/>
              </w:rPr>
              <w:t>新建水厂与八一水库直线距离约</w:t>
            </w:r>
            <w:r>
              <w:rPr>
                <w:rFonts w:hint="eastAsia"/>
                <w:color w:val="auto"/>
                <w:lang w:val="en-US" w:eastAsia="zh-CN"/>
              </w:rPr>
              <w:t>2km</w:t>
            </w:r>
            <w:r>
              <w:rPr>
                <w:rFonts w:hint="eastAsia"/>
                <w:color w:val="auto"/>
                <w:lang w:eastAsia="zh-CN"/>
              </w:rPr>
              <w:t>，八一水库附近无</w:t>
            </w:r>
            <w:r>
              <w:rPr>
                <w:rFonts w:hint="eastAsia"/>
                <w:color w:val="auto"/>
              </w:rPr>
              <w:t>工业排污企业进行生产排污</w:t>
            </w:r>
            <w:r>
              <w:rPr>
                <w:rFonts w:hint="eastAsia"/>
                <w:color w:val="auto"/>
                <w:lang w:eastAsia="zh-CN"/>
              </w:rPr>
              <w:t>。</w:t>
            </w:r>
          </w:p>
          <w:p>
            <w:pPr>
              <w:ind w:firstLine="480"/>
              <w:rPr>
                <w:rFonts w:hint="eastAsia"/>
                <w:color w:val="auto"/>
              </w:rPr>
            </w:pPr>
            <w:r>
              <w:rPr>
                <w:rFonts w:hint="eastAsia"/>
                <w:color w:val="auto"/>
                <w:lang w:eastAsia="zh-CN"/>
              </w:rPr>
              <w:t>本项目取水方式为：在</w:t>
            </w:r>
            <w:r>
              <w:rPr>
                <w:rFonts w:hint="eastAsia"/>
                <w:color w:val="auto"/>
                <w:highlight w:val="none"/>
                <w:lang w:eastAsia="zh-CN"/>
              </w:rPr>
              <w:t>八一</w:t>
            </w:r>
            <w:r>
              <w:rPr>
                <w:rFonts w:hint="eastAsia"/>
                <w:color w:val="auto"/>
                <w:highlight w:val="none"/>
              </w:rPr>
              <w:t>水库</w:t>
            </w:r>
            <w:r>
              <w:rPr>
                <w:rFonts w:hint="eastAsia"/>
                <w:color w:val="auto"/>
                <w:highlight w:val="none"/>
                <w:lang w:eastAsia="zh-CN"/>
              </w:rPr>
              <w:t>大坝隧洞出口处用管道连接至隧洞入口的方式取水，通过输水管网进入</w:t>
            </w:r>
            <w:r>
              <w:rPr>
                <w:rFonts w:hint="eastAsia"/>
                <w:color w:val="auto"/>
                <w:lang w:eastAsia="zh-CN"/>
              </w:rPr>
              <w:t>新建自来水厂净化消毒后</w:t>
            </w:r>
            <w:r>
              <w:rPr>
                <w:rFonts w:hint="eastAsia"/>
                <w:color w:val="auto"/>
              </w:rPr>
              <w:t>供应至</w:t>
            </w:r>
            <w:r>
              <w:rPr>
                <w:rFonts w:hint="eastAsia"/>
                <w:color w:val="auto"/>
                <w:lang w:eastAsia="zh-CN"/>
              </w:rPr>
              <w:t>西江镇区，原水的输送过程不会对八一水库的水质造成污染。且</w:t>
            </w:r>
            <w:r>
              <w:rPr>
                <w:rFonts w:hint="eastAsia"/>
                <w:color w:val="auto"/>
              </w:rPr>
              <w:t>项目运营期产生的三废均</w:t>
            </w:r>
            <w:r>
              <w:rPr>
                <w:rFonts w:hint="eastAsia"/>
                <w:color w:val="auto"/>
                <w:lang w:eastAsia="zh-CN"/>
              </w:rPr>
              <w:t>能</w:t>
            </w:r>
            <w:r>
              <w:rPr>
                <w:rFonts w:hint="eastAsia"/>
                <w:color w:val="auto"/>
              </w:rPr>
              <w:t>得到妥善的处置，不会对</w:t>
            </w:r>
            <w:r>
              <w:rPr>
                <w:rFonts w:hint="eastAsia"/>
                <w:color w:val="auto"/>
                <w:lang w:eastAsia="zh-CN"/>
              </w:rPr>
              <w:t>八一</w:t>
            </w:r>
            <w:r>
              <w:rPr>
                <w:rFonts w:hint="eastAsia"/>
                <w:color w:val="auto"/>
              </w:rPr>
              <w:t>水库水质产生不良影响。</w:t>
            </w:r>
          </w:p>
          <w:p>
            <w:pPr>
              <w:ind w:firstLine="480"/>
              <w:rPr>
                <w:color w:val="auto"/>
              </w:rPr>
            </w:pPr>
            <w:r>
              <w:rPr>
                <w:rFonts w:hint="eastAsia"/>
                <w:color w:val="auto"/>
              </w:rPr>
              <w:t>因此，</w:t>
            </w:r>
            <w:r>
              <w:rPr>
                <w:rFonts w:hint="eastAsia"/>
                <w:color w:val="auto"/>
                <w:lang w:eastAsia="zh-CN"/>
              </w:rPr>
              <w:t>八一</w:t>
            </w:r>
            <w:r>
              <w:rPr>
                <w:rFonts w:hint="eastAsia"/>
                <w:color w:val="auto"/>
              </w:rPr>
              <w:t>水库的库容能满足取水规模的需求，</w:t>
            </w:r>
            <w:r>
              <w:rPr>
                <w:rFonts w:hint="eastAsia"/>
                <w:color w:val="auto"/>
                <w:lang w:eastAsia="zh-CN"/>
              </w:rPr>
              <w:t>新增</w:t>
            </w:r>
            <w:r>
              <w:rPr>
                <w:rFonts w:hint="eastAsia"/>
                <w:color w:val="auto"/>
              </w:rPr>
              <w:t>取水</w:t>
            </w:r>
            <w:r>
              <w:rPr>
                <w:rFonts w:hint="eastAsia"/>
                <w:color w:val="auto"/>
                <w:lang w:eastAsia="zh-CN"/>
              </w:rPr>
              <w:t>量</w:t>
            </w:r>
            <w:r>
              <w:rPr>
                <w:rFonts w:hint="eastAsia"/>
                <w:color w:val="auto"/>
              </w:rPr>
              <w:t>对</w:t>
            </w:r>
            <w:r>
              <w:rPr>
                <w:rFonts w:hint="eastAsia"/>
                <w:color w:val="auto"/>
                <w:lang w:eastAsia="zh-CN"/>
              </w:rPr>
              <w:t>八一</w:t>
            </w:r>
            <w:r>
              <w:rPr>
                <w:rFonts w:hint="eastAsia"/>
                <w:color w:val="auto"/>
              </w:rPr>
              <w:t>水库的影响较小。为了更好保护</w:t>
            </w:r>
            <w:r>
              <w:rPr>
                <w:rFonts w:hint="eastAsia"/>
                <w:color w:val="auto"/>
                <w:lang w:eastAsia="zh-CN"/>
              </w:rPr>
              <w:t>八一</w:t>
            </w:r>
            <w:r>
              <w:rPr>
                <w:rFonts w:hint="eastAsia"/>
                <w:color w:val="auto"/>
              </w:rPr>
              <w:t>水库水环境，</w:t>
            </w:r>
            <w:r>
              <w:rPr>
                <w:rFonts w:hint="eastAsia"/>
                <w:color w:val="auto"/>
                <w:lang w:eastAsia="zh-CN"/>
              </w:rPr>
              <w:t>本环评建议建设单位</w:t>
            </w:r>
            <w:r>
              <w:rPr>
                <w:rFonts w:hint="eastAsia"/>
                <w:color w:val="auto"/>
              </w:rPr>
              <w:t>应采取以下措施：</w:t>
            </w:r>
          </w:p>
          <w:p>
            <w:pPr>
              <w:ind w:firstLine="480"/>
              <w:rPr>
                <w:rFonts w:hint="eastAsia"/>
                <w:color w:val="auto"/>
              </w:rPr>
            </w:pPr>
            <w:r>
              <w:rPr>
                <w:rFonts w:hint="eastAsia"/>
                <w:color w:val="auto"/>
              </w:rPr>
              <w:t>1、本工程对水源及水厂进行保护，加强对水源的保护管理，防止水源被污染、破坏。定期对</w:t>
            </w:r>
            <w:r>
              <w:rPr>
                <w:rFonts w:hint="eastAsia"/>
                <w:color w:val="auto"/>
                <w:lang w:eastAsia="zh-CN"/>
              </w:rPr>
              <w:t>八一</w:t>
            </w:r>
            <w:r>
              <w:rPr>
                <w:rFonts w:hint="eastAsia"/>
                <w:color w:val="auto"/>
              </w:rPr>
              <w:t>水库水质进行监测按饮用水标准规范进行化验，水质化验结果并对用户进行公示，接收社会监督，在运营前一定要进行水质监测，必须达到相应供水水质要求后，在配水给用户。</w:t>
            </w:r>
          </w:p>
          <w:p>
            <w:pPr>
              <w:ind w:firstLine="480"/>
              <w:rPr>
                <w:rFonts w:hint="eastAsia"/>
                <w:color w:val="auto"/>
              </w:rPr>
            </w:pPr>
            <w:r>
              <w:rPr>
                <w:rFonts w:hint="eastAsia"/>
                <w:color w:val="auto"/>
              </w:rPr>
              <w:t>2、在水源附近不允许放养任何加工、洗涤等可能污染水源的任何活动，禁止向</w:t>
            </w:r>
            <w:r>
              <w:rPr>
                <w:rFonts w:hint="eastAsia"/>
                <w:color w:val="auto"/>
                <w:lang w:eastAsia="zh-CN"/>
              </w:rPr>
              <w:t>八一</w:t>
            </w:r>
            <w:r>
              <w:rPr>
                <w:rFonts w:hint="eastAsia"/>
                <w:color w:val="auto"/>
              </w:rPr>
              <w:t>水库倾倒工业废物、垃圾、粪便等废弃物，并设置明显的范围标志和禁止事项的告示牌。</w:t>
            </w:r>
          </w:p>
          <w:p>
            <w:pPr>
              <w:ind w:firstLine="480"/>
              <w:rPr>
                <w:rFonts w:hint="eastAsia"/>
                <w:color w:val="auto"/>
              </w:rPr>
            </w:pPr>
            <w:r>
              <w:rPr>
                <w:rFonts w:hint="eastAsia"/>
                <w:color w:val="auto"/>
              </w:rPr>
              <w:t>3、取水设施、水厂沉淀池容易沉积泥沙，应该定期人工清淤。在对水资源进行开发利用后，要加强工程后续管理，同时应抓好水资源的节约和保护工作，确保水资源可持续利用。</w:t>
            </w:r>
          </w:p>
          <w:p>
            <w:pPr>
              <w:ind w:firstLine="480"/>
              <w:rPr>
                <w:rFonts w:hint="eastAsia"/>
                <w:color w:val="auto"/>
              </w:rPr>
            </w:pPr>
            <w:r>
              <w:rPr>
                <w:rFonts w:hint="eastAsia"/>
                <w:color w:val="auto"/>
              </w:rPr>
              <w:t>4、在水源保护上，要按照《饮用水源保护区污染防治管理规定》等相关法规的要求，对水源进行保护，根据水源类型划定保护区，制定保护办法。</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rPr>
                <w:color w:val="auto"/>
              </w:rPr>
            </w:pPr>
            <w:r>
              <w:rPr>
                <w:rFonts w:hint="eastAsia"/>
                <w:color w:val="auto"/>
              </w:rPr>
              <w:t>5、禁止在</w:t>
            </w:r>
            <w:r>
              <w:rPr>
                <w:rFonts w:hint="eastAsia"/>
                <w:color w:val="auto"/>
                <w:lang w:eastAsia="zh-CN"/>
              </w:rPr>
              <w:t>八一</w:t>
            </w:r>
            <w:r>
              <w:rPr>
                <w:rFonts w:hint="eastAsia"/>
                <w:color w:val="auto"/>
              </w:rPr>
              <w:t>水库周边建设与供水设施和保护水源无关的高污染项目，以及随意进行土方开挖活动；</w:t>
            </w:r>
          </w:p>
          <w:p>
            <w:pPr>
              <w:pStyle w:val="2"/>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rPr>
            </w:pPr>
            <w:r>
              <w:rPr>
                <w:rFonts w:hint="eastAsia"/>
                <w:color w:val="auto"/>
              </w:rPr>
              <w:t>6、多进行一些相关的退耕还林还草项目，水源保护区内的土地宜种植水源保护林草或发展有机农业，增强水源涵养能力，保护水源不枯竭，提高水资源的可持续利用率。</w:t>
            </w:r>
          </w:p>
          <w:p>
            <w:pPr>
              <w:pStyle w:val="55"/>
              <w:ind w:firstLine="482"/>
              <w:rPr>
                <w:color w:val="auto"/>
              </w:rPr>
            </w:pPr>
            <w:r>
              <w:rPr>
                <w:rFonts w:hint="eastAsia"/>
                <w:color w:val="auto"/>
              </w:rPr>
              <w:t>六、工程对</w:t>
            </w:r>
            <w:r>
              <w:rPr>
                <w:rFonts w:hint="eastAsia"/>
                <w:color w:val="auto"/>
                <w:lang w:eastAsia="zh-CN"/>
              </w:rPr>
              <w:t>八一</w:t>
            </w:r>
            <w:r>
              <w:rPr>
                <w:rFonts w:hint="eastAsia"/>
                <w:color w:val="auto"/>
              </w:rPr>
              <w:t>水库的生态影响分析</w:t>
            </w:r>
          </w:p>
          <w:p>
            <w:pPr>
              <w:ind w:firstLine="480"/>
              <w:rPr>
                <w:color w:val="auto"/>
              </w:rPr>
            </w:pPr>
            <w:r>
              <w:rPr>
                <w:rFonts w:hint="eastAsia"/>
                <w:color w:val="auto"/>
              </w:rPr>
              <w:t>1、</w:t>
            </w:r>
            <w:r>
              <w:rPr>
                <w:color w:val="auto"/>
              </w:rPr>
              <w:t>生态影响评价等级</w:t>
            </w:r>
          </w:p>
          <w:p>
            <w:pPr>
              <w:ind w:firstLine="480"/>
              <w:rPr>
                <w:color w:val="auto"/>
              </w:rPr>
            </w:pPr>
            <w:r>
              <w:rPr>
                <w:rFonts w:hint="eastAsia"/>
                <w:color w:val="auto"/>
              </w:rPr>
              <w:t>项目永久占地未涉及自然保护区、风景名胜区、森林公园、地质公园、重要湿地等特殊生态敏感区和重要生态敏感区，因此项目永久占地属于一般区域。项目永久占地面积（含水域）约为0.</w:t>
            </w:r>
            <w:r>
              <w:rPr>
                <w:rFonts w:hint="eastAsia"/>
                <w:color w:val="auto"/>
                <w:lang w:val="en-US" w:eastAsia="zh-CN"/>
              </w:rPr>
              <w:t>083</w:t>
            </w:r>
            <w:r>
              <w:rPr>
                <w:rFonts w:hint="eastAsia"/>
                <w:color w:val="auto"/>
              </w:rPr>
              <w:t>k㎡，根据《环境影响评价技术导则 生态影响》（HJ19-2011）表1 生态影响环境工作等级划分表，项目生态环境影响评价为三级评价。</w:t>
            </w:r>
          </w:p>
          <w:p>
            <w:pPr>
              <w:ind w:firstLine="480"/>
              <w:rPr>
                <w:color w:val="auto"/>
              </w:rPr>
            </w:pPr>
            <w:r>
              <w:rPr>
                <w:rFonts w:hint="eastAsia"/>
                <w:color w:val="auto"/>
              </w:rPr>
              <w:t>2、生态影响分析</w:t>
            </w:r>
          </w:p>
          <w:p>
            <w:pPr>
              <w:ind w:firstLine="480"/>
              <w:rPr>
                <w:color w:val="auto"/>
              </w:rPr>
            </w:pPr>
            <w:r>
              <w:rPr>
                <w:rFonts w:hint="eastAsia"/>
                <w:color w:val="auto"/>
              </w:rPr>
              <w:t>本工程拟在在八一水库大坝新建一座隧洞，</w:t>
            </w:r>
            <w:r>
              <w:rPr>
                <w:rFonts w:hint="eastAsia"/>
                <w:color w:val="auto"/>
                <w:lang w:eastAsia="zh-CN"/>
              </w:rPr>
              <w:t>并在</w:t>
            </w:r>
            <w:r>
              <w:rPr>
                <w:rFonts w:hint="eastAsia"/>
                <w:color w:val="auto"/>
              </w:rPr>
              <w:t>隧洞口新建一处取水口，水源水从隧洞口通过重力作用由隧洞输送至隧洞前池</w:t>
            </w:r>
            <w:r>
              <w:rPr>
                <w:rFonts w:hint="eastAsia"/>
                <w:color w:val="auto"/>
                <w:lang w:eastAsia="zh-CN"/>
              </w:rPr>
              <w:t>，</w:t>
            </w:r>
            <w:r>
              <w:rPr>
                <w:rFonts w:hint="eastAsia"/>
                <w:color w:val="auto"/>
              </w:rPr>
              <w:t>取水量</w:t>
            </w:r>
            <w:r>
              <w:rPr>
                <w:rFonts w:hint="eastAsia"/>
                <w:color w:val="auto"/>
                <w:lang w:eastAsia="zh-CN"/>
              </w:rPr>
              <w:t>为</w:t>
            </w:r>
            <w:r>
              <w:rPr>
                <w:rFonts w:hint="eastAsia"/>
                <w:color w:val="auto"/>
                <w:lang w:val="en-US" w:eastAsia="zh-CN"/>
              </w:rPr>
              <w:t>606</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/d</w:t>
            </w:r>
            <w:r>
              <w:rPr>
                <w:rFonts w:hint="eastAsia"/>
                <w:color w:val="auto"/>
                <w:lang w:eastAsia="zh-CN"/>
              </w:rPr>
              <w:t>，</w:t>
            </w:r>
            <w:r>
              <w:rPr>
                <w:rFonts w:hint="eastAsia"/>
                <w:color w:val="auto"/>
              </w:rPr>
              <w:t>在完成水资源论证报告、征得水利局同意下前提下，</w:t>
            </w:r>
            <w:r>
              <w:rPr>
                <w:rFonts w:hint="eastAsia"/>
                <w:color w:val="auto"/>
                <w:lang w:eastAsia="zh-CN"/>
              </w:rPr>
              <w:t>新增取水口、</w:t>
            </w:r>
            <w:r>
              <w:rPr>
                <w:rFonts w:hint="eastAsia"/>
                <w:color w:val="auto"/>
              </w:rPr>
              <w:t>取水量增加可能会对</w:t>
            </w:r>
            <w:r>
              <w:rPr>
                <w:rFonts w:hint="eastAsia"/>
                <w:color w:val="auto"/>
                <w:lang w:eastAsia="zh-CN"/>
              </w:rPr>
              <w:t>八一</w:t>
            </w:r>
            <w:r>
              <w:rPr>
                <w:rFonts w:hint="eastAsia"/>
                <w:color w:val="auto"/>
              </w:rPr>
              <w:t>水库水量、水质、水生生物等生态环境造成</w:t>
            </w:r>
            <w:r>
              <w:rPr>
                <w:rFonts w:hint="eastAsia"/>
                <w:color w:val="auto"/>
                <w:lang w:eastAsia="zh-CN"/>
              </w:rPr>
              <w:t>一定程度的</w:t>
            </w:r>
            <w:r>
              <w:rPr>
                <w:rFonts w:hint="eastAsia"/>
                <w:color w:val="auto"/>
              </w:rPr>
              <w:t>影响。</w:t>
            </w:r>
          </w:p>
          <w:p>
            <w:pPr>
              <w:ind w:firstLine="480"/>
              <w:rPr>
                <w:color w:val="auto"/>
              </w:rPr>
            </w:pPr>
            <w:r>
              <w:rPr>
                <w:rFonts w:hint="eastAsia"/>
                <w:color w:val="auto"/>
              </w:rPr>
              <w:t>（1）水量、水质影响分析</w:t>
            </w:r>
          </w:p>
          <w:p>
            <w:pPr>
              <w:ind w:firstLine="480"/>
              <w:rPr>
                <w:color w:val="auto"/>
              </w:rPr>
            </w:pPr>
            <w:r>
              <w:rPr>
                <w:rFonts w:hint="eastAsia"/>
                <w:color w:val="auto"/>
              </w:rPr>
              <w:t>本工程</w:t>
            </w:r>
            <w:r>
              <w:rPr>
                <w:rFonts w:hint="eastAsia"/>
                <w:color w:val="auto"/>
                <w:lang w:eastAsia="zh-CN"/>
              </w:rPr>
              <w:t>新增</w:t>
            </w:r>
            <w:r>
              <w:rPr>
                <w:rFonts w:hint="eastAsia"/>
                <w:color w:val="auto"/>
              </w:rPr>
              <w:t>取水量</w:t>
            </w:r>
            <w:r>
              <w:rPr>
                <w:rFonts w:hint="eastAsia"/>
                <w:color w:val="auto"/>
                <w:lang w:val="en-US" w:eastAsia="zh-CN"/>
              </w:rPr>
              <w:t>606</w:t>
            </w:r>
            <w:r>
              <w:rPr>
                <w:rFonts w:hint="eastAsia"/>
                <w:color w:val="auto"/>
              </w:rPr>
              <w:t>m³/d，</w:t>
            </w:r>
            <w:r>
              <w:rPr>
                <w:rFonts w:hint="eastAsia"/>
                <w:color w:val="auto"/>
                <w:lang w:eastAsia="zh-CN"/>
              </w:rPr>
              <w:t>八一</w:t>
            </w:r>
            <w:r>
              <w:rPr>
                <w:rFonts w:hint="eastAsia"/>
                <w:color w:val="auto"/>
              </w:rPr>
              <w:t>水库集水面积</w:t>
            </w:r>
            <w:r>
              <w:rPr>
                <w:rFonts w:hint="eastAsia"/>
                <w:color w:val="auto"/>
                <w:lang w:val="en-US" w:eastAsia="zh-CN"/>
              </w:rPr>
              <w:t>1.2</w:t>
            </w:r>
            <w:r>
              <w:rPr>
                <w:rFonts w:hint="eastAsia"/>
                <w:color w:val="auto"/>
              </w:rPr>
              <w:t>k㎡，总库容</w:t>
            </w:r>
            <w:r>
              <w:rPr>
                <w:rFonts w:hint="eastAsia"/>
                <w:color w:val="auto"/>
                <w:lang w:val="en-US" w:eastAsia="zh-CN"/>
              </w:rPr>
              <w:t>28</w:t>
            </w:r>
            <w:r>
              <w:rPr>
                <w:rFonts w:hint="eastAsia"/>
                <w:color w:val="auto"/>
              </w:rPr>
              <w:t>万m³，库容</w:t>
            </w:r>
            <w:r>
              <w:rPr>
                <w:rFonts w:hint="eastAsia"/>
                <w:color w:val="auto"/>
                <w:lang w:eastAsia="zh-CN"/>
              </w:rPr>
              <w:t>一般</w:t>
            </w:r>
            <w:r>
              <w:rPr>
                <w:rFonts w:hint="eastAsia"/>
                <w:color w:val="auto"/>
              </w:rPr>
              <w:t>，因此，</w:t>
            </w:r>
            <w:r>
              <w:rPr>
                <w:rFonts w:hint="eastAsia"/>
                <w:color w:val="auto"/>
                <w:lang w:eastAsia="zh-CN"/>
              </w:rPr>
              <w:t>八一</w:t>
            </w:r>
            <w:r>
              <w:rPr>
                <w:rFonts w:hint="eastAsia"/>
                <w:color w:val="auto"/>
              </w:rPr>
              <w:t>水库的库容能</w:t>
            </w:r>
            <w:r>
              <w:rPr>
                <w:rFonts w:hint="eastAsia"/>
                <w:color w:val="auto"/>
                <w:lang w:eastAsia="zh-CN"/>
              </w:rPr>
              <w:t>够</w:t>
            </w:r>
            <w:r>
              <w:rPr>
                <w:rFonts w:hint="eastAsia"/>
                <w:color w:val="auto"/>
              </w:rPr>
              <w:t>满足取水规模的需求</w:t>
            </w:r>
            <w:r>
              <w:rPr>
                <w:rFonts w:hint="eastAsia"/>
                <w:color w:val="auto"/>
                <w:lang w:eastAsia="zh-CN"/>
              </w:rPr>
              <w:t>；由于本工程</w:t>
            </w:r>
            <w:r>
              <w:rPr>
                <w:rFonts w:hint="eastAsia"/>
                <w:color w:val="auto"/>
              </w:rPr>
              <w:t>仅作为西江镇的补充水源</w:t>
            </w:r>
            <w:r>
              <w:rPr>
                <w:rFonts w:hint="eastAsia"/>
                <w:color w:val="auto"/>
                <w:lang w:eastAsia="zh-CN"/>
              </w:rPr>
              <w:t>，非西江镇主要供水水源，因此，</w:t>
            </w:r>
            <w:r>
              <w:rPr>
                <w:rFonts w:hint="eastAsia"/>
                <w:color w:val="auto"/>
              </w:rPr>
              <w:t>取水对</w:t>
            </w:r>
            <w:r>
              <w:rPr>
                <w:rFonts w:hint="eastAsia"/>
                <w:color w:val="auto"/>
                <w:lang w:eastAsia="zh-CN"/>
              </w:rPr>
              <w:t>八一</w:t>
            </w:r>
            <w:r>
              <w:rPr>
                <w:rFonts w:hint="eastAsia"/>
                <w:color w:val="auto"/>
              </w:rPr>
              <w:t>水库的水量影响较小。</w:t>
            </w:r>
          </w:p>
          <w:p>
            <w:pPr>
              <w:ind w:firstLine="480"/>
              <w:rPr>
                <w:rFonts w:hint="eastAsia"/>
                <w:color w:val="auto"/>
              </w:rPr>
            </w:pPr>
            <w:r>
              <w:rPr>
                <w:rFonts w:hint="eastAsia"/>
                <w:color w:val="auto"/>
              </w:rPr>
              <w:t>根据《广东省地表水环境功能区划》，</w:t>
            </w:r>
            <w:r>
              <w:rPr>
                <w:rFonts w:hint="eastAsia"/>
                <w:color w:val="auto"/>
                <w:lang w:eastAsia="zh-CN"/>
              </w:rPr>
              <w:t>八一</w:t>
            </w:r>
            <w:r>
              <w:rPr>
                <w:rFonts w:hint="eastAsia"/>
                <w:color w:val="auto"/>
              </w:rPr>
              <w:t>水库暂无水域功能和水质目标规划，并且</w:t>
            </w:r>
            <w:r>
              <w:rPr>
                <w:rFonts w:hint="eastAsia"/>
                <w:color w:val="auto"/>
                <w:lang w:eastAsia="zh-CN"/>
              </w:rPr>
              <w:t>八一</w:t>
            </w:r>
            <w:r>
              <w:rPr>
                <w:rFonts w:hint="eastAsia"/>
                <w:color w:val="auto"/>
              </w:rPr>
              <w:t>水库不在连州市现有的饮用水源保护区内。本工程从</w:t>
            </w:r>
            <w:r>
              <w:rPr>
                <w:rFonts w:hint="eastAsia"/>
                <w:color w:val="auto"/>
                <w:lang w:eastAsia="zh-CN"/>
              </w:rPr>
              <w:t>八一</w:t>
            </w:r>
            <w:r>
              <w:rPr>
                <w:rFonts w:hint="eastAsia"/>
                <w:color w:val="auto"/>
              </w:rPr>
              <w:t>水库取水净化后供应至</w:t>
            </w:r>
            <w:r>
              <w:rPr>
                <w:rFonts w:hint="eastAsia"/>
                <w:color w:val="auto"/>
                <w:lang w:eastAsia="zh-CN"/>
              </w:rPr>
              <w:t>西江镇区</w:t>
            </w:r>
            <w:r>
              <w:rPr>
                <w:rFonts w:hint="eastAsia"/>
                <w:color w:val="auto"/>
              </w:rPr>
              <w:t>，导致</w:t>
            </w:r>
            <w:r>
              <w:rPr>
                <w:rFonts w:hint="eastAsia"/>
                <w:color w:val="auto"/>
                <w:lang w:eastAsia="zh-CN"/>
              </w:rPr>
              <w:t>八一</w:t>
            </w:r>
            <w:r>
              <w:rPr>
                <w:rFonts w:hint="eastAsia"/>
                <w:color w:val="auto"/>
              </w:rPr>
              <w:t>水库水量减少，从而降低了</w:t>
            </w:r>
            <w:r>
              <w:rPr>
                <w:rFonts w:hint="eastAsia"/>
                <w:color w:val="auto"/>
                <w:lang w:eastAsia="zh-CN"/>
              </w:rPr>
              <w:t>八一水库</w:t>
            </w:r>
            <w:r>
              <w:rPr>
                <w:rFonts w:hint="eastAsia"/>
                <w:color w:val="auto"/>
              </w:rPr>
              <w:t>水体稀释和自净能力，根据现场考察，</w:t>
            </w:r>
            <w:r>
              <w:rPr>
                <w:rFonts w:hint="eastAsia"/>
                <w:color w:val="auto"/>
                <w:lang w:eastAsia="zh-CN"/>
              </w:rPr>
              <w:t>八一水库两侧山脊和周围山体最高处围蔽起来的集雨范围内无污染源，因此八一水库的取水水质能够得到保障；八一</w:t>
            </w:r>
            <w:r>
              <w:rPr>
                <w:rFonts w:hint="eastAsia"/>
                <w:color w:val="auto"/>
              </w:rPr>
              <w:t>水库周边没有工业排污企业进行生产排污，</w:t>
            </w:r>
            <w:r>
              <w:rPr>
                <w:rFonts w:hint="eastAsia"/>
                <w:color w:val="auto"/>
                <w:lang w:eastAsia="zh-CN"/>
              </w:rPr>
              <w:t>且本</w:t>
            </w:r>
            <w:r>
              <w:rPr>
                <w:rFonts w:hint="eastAsia"/>
                <w:color w:val="auto"/>
              </w:rPr>
              <w:t>项目运营期产生的三废均得到妥善的处置，</w:t>
            </w:r>
            <w:r>
              <w:rPr>
                <w:rFonts w:hint="eastAsia"/>
                <w:color w:val="auto"/>
                <w:lang w:eastAsia="zh-CN"/>
              </w:rPr>
              <w:t>因此</w:t>
            </w:r>
            <w:r>
              <w:rPr>
                <w:rFonts w:hint="eastAsia"/>
                <w:color w:val="auto"/>
              </w:rPr>
              <w:t>不会对</w:t>
            </w:r>
            <w:r>
              <w:rPr>
                <w:rFonts w:hint="eastAsia"/>
                <w:color w:val="auto"/>
                <w:lang w:eastAsia="zh-CN"/>
              </w:rPr>
              <w:t>八一</w:t>
            </w:r>
            <w:r>
              <w:rPr>
                <w:rFonts w:hint="eastAsia"/>
                <w:color w:val="auto"/>
              </w:rPr>
              <w:t>水库水质产生不良影响。</w:t>
            </w:r>
          </w:p>
          <w:p>
            <w:pPr>
              <w:pStyle w:val="2"/>
              <w:jc w:val="center"/>
              <w:rPr>
                <w:color w:val="auto"/>
              </w:rPr>
            </w:pPr>
            <w:r>
              <w:rPr>
                <w:color w:val="auto"/>
              </w:rPr>
              <w:drawing>
                <wp:inline distT="0" distB="0" distL="114300" distR="114300">
                  <wp:extent cx="4806950" cy="4437380"/>
                  <wp:effectExtent l="0" t="0" r="12700" b="127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9"/>
                          <a:stretch>
                            <a:fillRect/>
                          </a:stretch>
                        </pic:blipFill>
                        <pic:spPr>
                          <a:xfrm>
                            <a:off x="0" y="0"/>
                            <a:ext cx="4806950" cy="4437380"/>
                          </a:xfrm>
                          <a:prstGeom prst="rect">
                            <a:avLst/>
                          </a:prstGeom>
                          <a:noFill/>
                          <a:ln>
                            <a:noFill/>
                          </a:ln>
                        </pic:spPr>
                      </pic:pic>
                    </a:graphicData>
                  </a:graphic>
                </wp:inline>
              </w:drawing>
            </w:r>
          </w:p>
          <w:p>
            <w:pPr>
              <w:pStyle w:val="2"/>
              <w:jc w:val="center"/>
              <w:rPr>
                <w:rFonts w:hint="default" w:eastAsia="宋体"/>
                <w:b/>
                <w:bCs/>
                <w:color w:val="auto"/>
                <w:lang w:val="en-US" w:eastAsia="zh-CN"/>
              </w:rPr>
            </w:pPr>
            <w:r>
              <w:rPr>
                <w:rFonts w:hint="eastAsia"/>
                <w:b/>
                <w:bCs/>
                <w:color w:val="auto"/>
                <w:lang w:eastAsia="zh-CN"/>
              </w:rPr>
              <w:t>图</w:t>
            </w:r>
            <w:r>
              <w:rPr>
                <w:rFonts w:hint="eastAsia"/>
                <w:b/>
                <w:bCs/>
                <w:color w:val="auto"/>
                <w:lang w:val="en-US" w:eastAsia="zh-CN"/>
              </w:rPr>
              <w:t>5 项目周围1.5km范围内污染源情况</w:t>
            </w:r>
          </w:p>
          <w:p>
            <w:pPr>
              <w:ind w:firstLine="480"/>
              <w:rPr>
                <w:color w:val="auto"/>
              </w:rPr>
            </w:pPr>
            <w:r>
              <w:rPr>
                <w:rFonts w:hint="eastAsia"/>
                <w:color w:val="auto"/>
              </w:rPr>
              <w:t>（2）水生生物影响分析</w:t>
            </w:r>
          </w:p>
          <w:p>
            <w:pPr>
              <w:ind w:firstLine="480"/>
              <w:rPr>
                <w:color w:val="auto"/>
              </w:rPr>
            </w:pPr>
            <w:r>
              <w:rPr>
                <w:rFonts w:hint="eastAsia"/>
                <w:color w:val="auto"/>
              </w:rPr>
              <w:t>根据实地调查，</w:t>
            </w:r>
            <w:r>
              <w:rPr>
                <w:rFonts w:hint="eastAsia"/>
                <w:color w:val="auto"/>
                <w:lang w:eastAsia="zh-CN"/>
              </w:rPr>
              <w:t>八一</w:t>
            </w:r>
            <w:r>
              <w:rPr>
                <w:rFonts w:hint="eastAsia"/>
                <w:color w:val="auto"/>
              </w:rPr>
              <w:t>水库没有发现珍稀水生生物以及较大经济鱼类，也没有鱼类产卵场、索饵场、越冬场的存在，生物主要以浮游生物为主，取水对其水生生物影响较小。</w:t>
            </w:r>
          </w:p>
          <w:p>
            <w:pPr>
              <w:ind w:firstLine="480"/>
              <w:rPr>
                <w:color w:val="auto"/>
              </w:rPr>
            </w:pPr>
            <w:r>
              <w:rPr>
                <w:rFonts w:hint="eastAsia"/>
                <w:color w:val="auto"/>
              </w:rPr>
              <w:t>2、</w:t>
            </w:r>
            <w:r>
              <w:rPr>
                <w:rFonts w:hint="eastAsia"/>
                <w:color w:val="auto"/>
                <w:lang w:eastAsia="zh-CN"/>
              </w:rPr>
              <w:t>八一</w:t>
            </w:r>
            <w:r>
              <w:rPr>
                <w:rFonts w:hint="eastAsia"/>
                <w:color w:val="auto"/>
              </w:rPr>
              <w:t>水库水污染防</w:t>
            </w:r>
            <w:r>
              <w:rPr>
                <w:rFonts w:hint="eastAsia"/>
                <w:color w:val="auto"/>
                <w:lang w:eastAsia="zh-CN"/>
              </w:rPr>
              <w:t>治</w:t>
            </w:r>
            <w:bookmarkStart w:id="31" w:name="_GoBack"/>
            <w:bookmarkEnd w:id="31"/>
            <w:r>
              <w:rPr>
                <w:rFonts w:hint="eastAsia"/>
                <w:color w:val="auto"/>
              </w:rPr>
              <w:t>保护措施</w:t>
            </w:r>
          </w:p>
          <w:p>
            <w:pPr>
              <w:ind w:firstLine="480"/>
              <w:rPr>
                <w:color w:val="auto"/>
              </w:rPr>
            </w:pPr>
            <w:r>
              <w:rPr>
                <w:rFonts w:hint="eastAsia"/>
                <w:color w:val="auto"/>
              </w:rPr>
              <w:t>为了更好保护</w:t>
            </w:r>
            <w:r>
              <w:rPr>
                <w:rFonts w:hint="eastAsia"/>
                <w:color w:val="auto"/>
                <w:lang w:eastAsia="zh-CN"/>
              </w:rPr>
              <w:t>八一</w:t>
            </w:r>
            <w:r>
              <w:rPr>
                <w:rFonts w:hint="eastAsia"/>
                <w:color w:val="auto"/>
              </w:rPr>
              <w:t>水库水环境，应采取以下措施：</w:t>
            </w:r>
          </w:p>
          <w:p>
            <w:pPr>
              <w:ind w:firstLine="480"/>
              <w:rPr>
                <w:color w:val="auto"/>
              </w:rPr>
            </w:pPr>
            <w:r>
              <w:rPr>
                <w:rFonts w:hint="eastAsia"/>
                <w:color w:val="auto"/>
              </w:rPr>
              <w:t>1、本工程对水源及水厂进行保护，加强对水源的保护管理，防止水源被污染、破坏。定期对</w:t>
            </w:r>
            <w:r>
              <w:rPr>
                <w:rFonts w:hint="eastAsia"/>
                <w:color w:val="auto"/>
                <w:lang w:eastAsia="zh-CN"/>
              </w:rPr>
              <w:t>八一</w:t>
            </w:r>
            <w:r>
              <w:rPr>
                <w:rFonts w:hint="eastAsia"/>
                <w:color w:val="auto"/>
              </w:rPr>
              <w:t>水库水质进行监测按饮用水标准规范进行化验，水质化验结果并对用户进行公示，接收社会监督，在运营前一定要进行水质监测，必须达到相应供水水质要求后，在配水给用户。</w:t>
            </w:r>
          </w:p>
          <w:p>
            <w:pPr>
              <w:ind w:firstLine="480"/>
              <w:rPr>
                <w:color w:val="auto"/>
              </w:rPr>
            </w:pPr>
            <w:r>
              <w:rPr>
                <w:rFonts w:hint="eastAsia"/>
                <w:color w:val="auto"/>
              </w:rPr>
              <w:t>2、在水源附近不允许放养任何加工、洗涤等可能污染水源的任何活动，禁止向</w:t>
            </w:r>
            <w:r>
              <w:rPr>
                <w:rFonts w:hint="eastAsia"/>
                <w:color w:val="auto"/>
                <w:lang w:eastAsia="zh-CN"/>
              </w:rPr>
              <w:t>八一</w:t>
            </w:r>
            <w:r>
              <w:rPr>
                <w:rFonts w:hint="eastAsia"/>
                <w:color w:val="auto"/>
              </w:rPr>
              <w:t>水库倾倒工业废物、垃圾、粪便等废弃物，并设置明显的范围标志和禁止事项的告示牌。</w:t>
            </w:r>
          </w:p>
          <w:p>
            <w:pPr>
              <w:ind w:firstLine="480"/>
              <w:rPr>
                <w:color w:val="auto"/>
              </w:rPr>
            </w:pPr>
            <w:r>
              <w:rPr>
                <w:rFonts w:hint="eastAsia"/>
                <w:color w:val="auto"/>
              </w:rPr>
              <w:t>3、取水设施、水厂沉淀池容易沉积泥沙，应该定期人工清淤。在对水资源进行开发利用后，要加强工程后续管理，同时应抓好水资源的节约和保护工作，确保水资源可持续利用。</w:t>
            </w:r>
          </w:p>
          <w:p>
            <w:pPr>
              <w:ind w:firstLine="480"/>
              <w:rPr>
                <w:color w:val="auto"/>
              </w:rPr>
            </w:pPr>
            <w:r>
              <w:rPr>
                <w:rFonts w:hint="eastAsia"/>
                <w:color w:val="auto"/>
              </w:rPr>
              <w:t>4、在水源保护上，要按照《饮用水源保护区污染防治管理规定》等相关法规的要求，对水源进行保护，根据水源类型划定保护区，制定保护办法。</w:t>
            </w:r>
          </w:p>
          <w:p>
            <w:pPr>
              <w:ind w:firstLine="480"/>
              <w:rPr>
                <w:rFonts w:ascii="Times New Roman" w:hAnsi="Times New Roman" w:cs="Times New Roman"/>
                <w:color w:val="auto"/>
                <w:szCs w:val="24"/>
              </w:rPr>
            </w:pPr>
            <w:r>
              <w:rPr>
                <w:rFonts w:hint="eastAsia"/>
                <w:color w:val="auto"/>
              </w:rPr>
              <w:t>5、禁止在</w:t>
            </w:r>
            <w:r>
              <w:rPr>
                <w:rFonts w:hint="eastAsia"/>
                <w:color w:val="auto"/>
                <w:lang w:eastAsia="zh-CN"/>
              </w:rPr>
              <w:t>八一</w:t>
            </w:r>
            <w:r>
              <w:rPr>
                <w:rFonts w:hint="eastAsia"/>
                <w:color w:val="auto"/>
              </w:rPr>
              <w:t>水库周边建设与供水设施和保护水源无关的高污染项目，以及随意进</w:t>
            </w:r>
            <w:r>
              <w:rPr>
                <w:rFonts w:hint="default" w:ascii="Times New Roman" w:hAnsi="Times New Roman" w:cs="Times New Roman"/>
                <w:color w:val="auto"/>
              </w:rPr>
              <w:t>行土方开挖活动；</w:t>
            </w:r>
          </w:p>
          <w:p>
            <w:pPr>
              <w:pStyle w:val="4"/>
              <w:rPr>
                <w:rFonts w:hint="eastAsia"/>
                <w:color w:val="auto"/>
                <w:sz w:val="24"/>
                <w:szCs w:val="24"/>
              </w:rPr>
            </w:pPr>
            <w:r>
              <w:rPr>
                <w:rFonts w:hint="default" w:ascii="Times New Roman" w:hAnsi="Times New Roman" w:cs="Times New Roman"/>
                <w:color w:val="auto"/>
                <w:sz w:val="24"/>
                <w:szCs w:val="24"/>
              </w:rPr>
              <w:t>6、</w:t>
            </w:r>
            <w:r>
              <w:rPr>
                <w:rFonts w:hint="eastAsia"/>
                <w:color w:val="auto"/>
                <w:sz w:val="24"/>
                <w:szCs w:val="24"/>
              </w:rPr>
              <w:t>多进行一些相关的退耕还林还草项目，水源保护区内的土地宜种植水源保护林草或发展有机农业，增强水源涵养能力，保护水源不枯竭，提高水资源的可持续利用率。</w:t>
            </w:r>
          </w:p>
          <w:p>
            <w:pPr>
              <w:pStyle w:val="55"/>
              <w:ind w:firstLine="482"/>
              <w:rPr>
                <w:color w:val="auto"/>
              </w:rPr>
            </w:pPr>
            <w:r>
              <w:rPr>
                <w:rFonts w:hint="eastAsia"/>
                <w:color w:val="auto"/>
                <w:lang w:eastAsia="zh-CN"/>
              </w:rPr>
              <w:t>七</w:t>
            </w:r>
            <w:r>
              <w:rPr>
                <w:rFonts w:hint="eastAsia"/>
                <w:color w:val="auto"/>
              </w:rPr>
              <w:t>、环保投资</w:t>
            </w:r>
          </w:p>
          <w:p>
            <w:pPr>
              <w:ind w:firstLine="480"/>
              <w:rPr>
                <w:color w:val="auto"/>
              </w:rPr>
            </w:pPr>
            <w:r>
              <w:rPr>
                <w:color w:val="auto"/>
              </w:rPr>
              <w:t>项目总投资</w:t>
            </w:r>
            <w:r>
              <w:rPr>
                <w:rFonts w:hint="eastAsia"/>
                <w:color w:val="auto"/>
              </w:rPr>
              <w:t>2336.71</w:t>
            </w:r>
            <w:r>
              <w:rPr>
                <w:color w:val="auto"/>
              </w:rPr>
              <w:t>万元，其中环保投资</w:t>
            </w:r>
            <w:r>
              <w:rPr>
                <w:rFonts w:hint="eastAsia"/>
                <w:color w:val="auto"/>
              </w:rPr>
              <w:t>11.12</w:t>
            </w:r>
            <w:r>
              <w:rPr>
                <w:color w:val="auto"/>
              </w:rPr>
              <w:t>万元，具体环保投资情况见下表。</w:t>
            </w:r>
          </w:p>
          <w:p>
            <w:pPr>
              <w:pStyle w:val="56"/>
              <w:rPr>
                <w:color w:val="auto"/>
              </w:rPr>
            </w:pPr>
            <w:r>
              <w:rPr>
                <w:color w:val="auto"/>
              </w:rPr>
              <w:t>表</w:t>
            </w:r>
            <w:r>
              <w:rPr>
                <w:rFonts w:hint="eastAsia"/>
                <w:color w:val="auto"/>
                <w:lang w:val="en-US" w:eastAsia="zh-CN"/>
              </w:rPr>
              <w:t>7-3</w:t>
            </w:r>
            <w:r>
              <w:rPr>
                <w:color w:val="auto"/>
              </w:rPr>
              <w:t xml:space="preserve">  项目环保投资一览表</w:t>
            </w:r>
          </w:p>
          <w:tbl>
            <w:tblPr>
              <w:tblStyle w:val="39"/>
              <w:tblW w:w="849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392"/>
              <w:gridCol w:w="4757"/>
              <w:gridCol w:w="151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color w:val="auto"/>
                    </w:rPr>
                    <w:t>序号</w:t>
                  </w:r>
                </w:p>
              </w:tc>
              <w:tc>
                <w:tcPr>
                  <w:tcW w:w="1392" w:type="dxa"/>
                  <w:vAlign w:val="center"/>
                </w:tcPr>
                <w:p>
                  <w:pPr>
                    <w:pStyle w:val="57"/>
                    <w:rPr>
                      <w:color w:val="auto"/>
                    </w:rPr>
                  </w:pPr>
                  <w:r>
                    <w:rPr>
                      <w:color w:val="auto"/>
                    </w:rPr>
                    <w:t>项目</w:t>
                  </w:r>
                </w:p>
              </w:tc>
              <w:tc>
                <w:tcPr>
                  <w:tcW w:w="4757" w:type="dxa"/>
                  <w:vAlign w:val="center"/>
                </w:tcPr>
                <w:p>
                  <w:pPr>
                    <w:pStyle w:val="57"/>
                    <w:rPr>
                      <w:color w:val="auto"/>
                    </w:rPr>
                  </w:pPr>
                  <w:r>
                    <w:rPr>
                      <w:color w:val="auto"/>
                    </w:rPr>
                    <w:t>处理措施</w:t>
                  </w:r>
                </w:p>
              </w:tc>
              <w:tc>
                <w:tcPr>
                  <w:tcW w:w="1511" w:type="dxa"/>
                  <w:vAlign w:val="center"/>
                </w:tcPr>
                <w:p>
                  <w:pPr>
                    <w:pStyle w:val="57"/>
                    <w:rPr>
                      <w:color w:val="auto"/>
                    </w:rPr>
                  </w:pPr>
                  <w:r>
                    <w:rPr>
                      <w:color w:val="auto"/>
                    </w:rPr>
                    <w:t>投资（万元）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color w:val="auto"/>
                    </w:rPr>
                    <w:t>1</w:t>
                  </w:r>
                </w:p>
              </w:tc>
              <w:tc>
                <w:tcPr>
                  <w:tcW w:w="1392" w:type="dxa"/>
                  <w:vAlign w:val="center"/>
                </w:tcPr>
                <w:p>
                  <w:pPr>
                    <w:pStyle w:val="57"/>
                    <w:rPr>
                      <w:color w:val="auto"/>
                    </w:rPr>
                  </w:pPr>
                  <w:r>
                    <w:rPr>
                      <w:color w:val="auto"/>
                    </w:rPr>
                    <w:t>废水</w:t>
                  </w:r>
                </w:p>
              </w:tc>
              <w:tc>
                <w:tcPr>
                  <w:tcW w:w="4757" w:type="dxa"/>
                  <w:vAlign w:val="center"/>
                </w:tcPr>
                <w:p>
                  <w:pPr>
                    <w:pStyle w:val="57"/>
                    <w:rPr>
                      <w:rFonts w:hint="eastAsia" w:eastAsia="宋体"/>
                      <w:color w:val="auto"/>
                      <w:lang w:eastAsia="zh-CN"/>
                    </w:rPr>
                  </w:pP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、暂存池</w:t>
                  </w:r>
                </w:p>
              </w:tc>
              <w:tc>
                <w:tcPr>
                  <w:tcW w:w="1511" w:type="dxa"/>
                  <w:vAlign w:val="center"/>
                </w:tcPr>
                <w:p>
                  <w:pPr>
                    <w:pStyle w:val="57"/>
                    <w:rPr>
                      <w:color w:val="auto"/>
                    </w:rPr>
                  </w:pPr>
                  <w:r>
                    <w:rPr>
                      <w:rFonts w:hint="eastAsia"/>
                      <w:color w:val="auto"/>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color w:val="auto"/>
                    </w:rPr>
                    <w:t>2</w:t>
                  </w:r>
                </w:p>
              </w:tc>
              <w:tc>
                <w:tcPr>
                  <w:tcW w:w="1392" w:type="dxa"/>
                  <w:vAlign w:val="center"/>
                </w:tcPr>
                <w:p>
                  <w:pPr>
                    <w:pStyle w:val="57"/>
                    <w:rPr>
                      <w:color w:val="auto"/>
                    </w:rPr>
                  </w:pPr>
                  <w:r>
                    <w:rPr>
                      <w:color w:val="auto"/>
                    </w:rPr>
                    <w:t>废气</w:t>
                  </w:r>
                </w:p>
              </w:tc>
              <w:tc>
                <w:tcPr>
                  <w:tcW w:w="4757" w:type="dxa"/>
                  <w:vAlign w:val="center"/>
                </w:tcPr>
                <w:p>
                  <w:pPr>
                    <w:pStyle w:val="57"/>
                    <w:rPr>
                      <w:color w:val="auto"/>
                    </w:rPr>
                  </w:pPr>
                  <w:r>
                    <w:rPr>
                      <w:color w:val="auto"/>
                    </w:rPr>
                    <w:t>油烟：吸排油烟机高空排放</w:t>
                  </w:r>
                </w:p>
              </w:tc>
              <w:tc>
                <w:tcPr>
                  <w:tcW w:w="1511" w:type="dxa"/>
                  <w:vAlign w:val="center"/>
                </w:tcPr>
                <w:p>
                  <w:pPr>
                    <w:pStyle w:val="57"/>
                    <w:rPr>
                      <w:rFonts w:hint="eastAsia" w:eastAsia="宋体"/>
                      <w:color w:val="auto"/>
                      <w:lang w:eastAsia="zh-CN"/>
                    </w:rPr>
                  </w:pPr>
                  <w:r>
                    <w:rPr>
                      <w:rFonts w:hint="eastAsia"/>
                      <w:color w:val="auto"/>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color w:val="auto"/>
                    </w:rPr>
                    <w:t>3</w:t>
                  </w:r>
                </w:p>
              </w:tc>
              <w:tc>
                <w:tcPr>
                  <w:tcW w:w="1392" w:type="dxa"/>
                  <w:vAlign w:val="center"/>
                </w:tcPr>
                <w:p>
                  <w:pPr>
                    <w:pStyle w:val="57"/>
                    <w:rPr>
                      <w:color w:val="auto"/>
                    </w:rPr>
                  </w:pPr>
                  <w:r>
                    <w:rPr>
                      <w:color w:val="auto"/>
                    </w:rPr>
                    <w:t>噪声</w:t>
                  </w:r>
                </w:p>
              </w:tc>
              <w:tc>
                <w:tcPr>
                  <w:tcW w:w="4757" w:type="dxa"/>
                  <w:vAlign w:val="center"/>
                </w:tcPr>
                <w:p>
                  <w:pPr>
                    <w:pStyle w:val="57"/>
                    <w:rPr>
                      <w:color w:val="auto"/>
                    </w:rPr>
                  </w:pPr>
                  <w:r>
                    <w:rPr>
                      <w:color w:val="auto"/>
                    </w:rPr>
                    <w:t>高噪声设备垫片防振，厂房、围墙隔音，厂区绿化</w:t>
                  </w:r>
                </w:p>
              </w:tc>
              <w:tc>
                <w:tcPr>
                  <w:tcW w:w="1511" w:type="dxa"/>
                  <w:vAlign w:val="center"/>
                </w:tcPr>
                <w:p>
                  <w:pPr>
                    <w:pStyle w:val="57"/>
                    <w:rPr>
                      <w:rFonts w:hint="default" w:eastAsia="宋体"/>
                      <w:color w:val="auto"/>
                      <w:lang w:val="en-US" w:eastAsia="zh-CN"/>
                    </w:rPr>
                  </w:pPr>
                  <w:r>
                    <w:rPr>
                      <w:rFonts w:hint="eastAsia"/>
                      <w:color w:val="auto"/>
                      <w:lang w:val="en-US" w:eastAsia="zh-CN"/>
                    </w:rPr>
                    <w:t>3.82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color w:val="auto"/>
                    </w:rPr>
                    <w:t>4</w:t>
                  </w:r>
                </w:p>
              </w:tc>
              <w:tc>
                <w:tcPr>
                  <w:tcW w:w="1392" w:type="dxa"/>
                  <w:vMerge w:val="restart"/>
                  <w:vAlign w:val="center"/>
                </w:tcPr>
                <w:p>
                  <w:pPr>
                    <w:pStyle w:val="57"/>
                    <w:rPr>
                      <w:color w:val="auto"/>
                    </w:rPr>
                  </w:pPr>
                  <w:r>
                    <w:rPr>
                      <w:color w:val="auto"/>
                    </w:rPr>
                    <w:t>固废</w:t>
                  </w:r>
                </w:p>
              </w:tc>
              <w:tc>
                <w:tcPr>
                  <w:tcW w:w="4757" w:type="dxa"/>
                  <w:vAlign w:val="center"/>
                </w:tcPr>
                <w:p>
                  <w:pPr>
                    <w:pStyle w:val="57"/>
                    <w:rPr>
                      <w:color w:val="auto"/>
                    </w:rPr>
                  </w:pPr>
                  <w:r>
                    <w:rPr>
                      <w:color w:val="auto"/>
                    </w:rPr>
                    <w:t>生活垃圾</w:t>
                  </w:r>
                  <w:r>
                    <w:rPr>
                      <w:rFonts w:hint="eastAsia"/>
                      <w:color w:val="auto"/>
                    </w:rPr>
                    <w:t>：</w:t>
                  </w:r>
                  <w:r>
                    <w:rPr>
                      <w:color w:val="auto"/>
                    </w:rPr>
                    <w:t>暂存设施</w:t>
                  </w:r>
                </w:p>
              </w:tc>
              <w:tc>
                <w:tcPr>
                  <w:tcW w:w="1511" w:type="dxa"/>
                  <w:vAlign w:val="center"/>
                </w:tcPr>
                <w:p>
                  <w:pPr>
                    <w:pStyle w:val="57"/>
                    <w:rPr>
                      <w:color w:val="auto"/>
                    </w:rPr>
                  </w:pPr>
                  <w:r>
                    <w:rPr>
                      <w:rFonts w:hint="eastAsia"/>
                      <w:color w:val="auto"/>
                    </w:rPr>
                    <w:t>0.3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color w:val="auto"/>
                    </w:rPr>
                    <w:t>5</w:t>
                  </w:r>
                </w:p>
              </w:tc>
              <w:tc>
                <w:tcPr>
                  <w:tcW w:w="1392" w:type="dxa"/>
                  <w:vMerge w:val="continue"/>
                  <w:vAlign w:val="center"/>
                </w:tcPr>
                <w:p>
                  <w:pPr>
                    <w:pStyle w:val="57"/>
                    <w:rPr>
                      <w:color w:val="auto"/>
                    </w:rPr>
                  </w:pPr>
                </w:p>
              </w:tc>
              <w:tc>
                <w:tcPr>
                  <w:tcW w:w="4757" w:type="dxa"/>
                  <w:vAlign w:val="center"/>
                </w:tcPr>
                <w:p>
                  <w:pPr>
                    <w:pStyle w:val="57"/>
                    <w:rPr>
                      <w:color w:val="auto"/>
                    </w:rPr>
                  </w:pPr>
                  <w:r>
                    <w:rPr>
                      <w:rFonts w:hint="eastAsia"/>
                      <w:color w:val="auto"/>
                      <w:szCs w:val="24"/>
                    </w:rPr>
                    <w:t>废包装材料、</w:t>
                  </w:r>
                  <w:r>
                    <w:rPr>
                      <w:rFonts w:hint="eastAsia"/>
                      <w:color w:val="auto"/>
                    </w:rPr>
                    <w:t>净化过滤池沉渣：一般固废仓</w:t>
                  </w:r>
                </w:p>
              </w:tc>
              <w:tc>
                <w:tcPr>
                  <w:tcW w:w="1511" w:type="dxa"/>
                  <w:vAlign w:val="center"/>
                </w:tcPr>
                <w:p>
                  <w:pPr>
                    <w:pStyle w:val="57"/>
                    <w:rPr>
                      <w:color w:val="auto"/>
                    </w:rPr>
                  </w:pPr>
                  <w:r>
                    <w:rPr>
                      <w:rFonts w:hint="eastAsia"/>
                      <w:color w:val="auto"/>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34" w:type="dxa"/>
                  <w:vAlign w:val="center"/>
                </w:tcPr>
                <w:p>
                  <w:pPr>
                    <w:pStyle w:val="57"/>
                    <w:rPr>
                      <w:color w:val="auto"/>
                    </w:rPr>
                  </w:pPr>
                  <w:r>
                    <w:rPr>
                      <w:rFonts w:hint="eastAsia"/>
                      <w:color w:val="auto"/>
                    </w:rPr>
                    <w:t>7</w:t>
                  </w:r>
                </w:p>
              </w:tc>
              <w:tc>
                <w:tcPr>
                  <w:tcW w:w="6149" w:type="dxa"/>
                  <w:gridSpan w:val="2"/>
                  <w:vAlign w:val="center"/>
                </w:tcPr>
                <w:p>
                  <w:pPr>
                    <w:pStyle w:val="57"/>
                    <w:rPr>
                      <w:color w:val="auto"/>
                    </w:rPr>
                  </w:pPr>
                  <w:r>
                    <w:rPr>
                      <w:color w:val="auto"/>
                    </w:rPr>
                    <w:t>合计</w:t>
                  </w:r>
                </w:p>
              </w:tc>
              <w:tc>
                <w:tcPr>
                  <w:tcW w:w="1511" w:type="dxa"/>
                  <w:vAlign w:val="center"/>
                </w:tcPr>
                <w:p>
                  <w:pPr>
                    <w:pStyle w:val="57"/>
                    <w:rPr>
                      <w:rFonts w:hint="default" w:eastAsia="宋体"/>
                      <w:color w:val="auto"/>
                      <w:lang w:val="en-US" w:eastAsia="zh-CN"/>
                    </w:rPr>
                  </w:pPr>
                  <w:r>
                    <w:rPr>
                      <w:rFonts w:hint="eastAsia"/>
                      <w:color w:val="auto"/>
                      <w:lang w:val="en-US" w:eastAsia="zh-CN"/>
                    </w:rPr>
                    <w:t>11.12</w:t>
                  </w:r>
                </w:p>
              </w:tc>
            </w:tr>
          </w:tbl>
          <w:p>
            <w:pPr>
              <w:pStyle w:val="55"/>
              <w:ind w:firstLine="482"/>
              <w:rPr>
                <w:color w:val="auto"/>
              </w:rPr>
            </w:pPr>
            <w:r>
              <w:rPr>
                <w:rFonts w:hint="eastAsia"/>
                <w:color w:val="auto"/>
              </w:rPr>
              <w:t>六</w:t>
            </w:r>
            <w:r>
              <w:rPr>
                <w:color w:val="auto"/>
              </w:rPr>
              <w:t>、三同时验收</w:t>
            </w:r>
          </w:p>
          <w:p>
            <w:pPr>
              <w:ind w:firstLine="480"/>
              <w:rPr>
                <w:color w:val="auto"/>
              </w:rPr>
            </w:pPr>
            <w:r>
              <w:rPr>
                <w:color w:val="auto"/>
              </w:rPr>
              <w:t>在项目建成投产后，环保措施必须同时设计、同时施工、同时投入使用，产能达到验收条件时对各项环保措施进行验收。本项目验收的主要内容及要求见</w:t>
            </w:r>
            <w:r>
              <w:rPr>
                <w:rFonts w:hint="eastAsia"/>
                <w:color w:val="auto"/>
                <w:lang w:eastAsia="zh-CN"/>
              </w:rPr>
              <w:t>下</w:t>
            </w:r>
            <w:r>
              <w:rPr>
                <w:color w:val="auto"/>
              </w:rPr>
              <w:t>表。</w:t>
            </w:r>
          </w:p>
          <w:p>
            <w:pPr>
              <w:ind w:firstLine="480"/>
              <w:rPr>
                <w:color w:val="auto"/>
              </w:rPr>
            </w:pPr>
          </w:p>
          <w:p>
            <w:pPr>
              <w:ind w:firstLine="480"/>
              <w:rPr>
                <w:color w:val="auto"/>
              </w:rPr>
            </w:pPr>
          </w:p>
          <w:p>
            <w:pPr>
              <w:ind w:firstLine="480"/>
              <w:rPr>
                <w:color w:val="auto"/>
              </w:rPr>
            </w:pPr>
          </w:p>
        </w:tc>
      </w:tr>
    </w:tbl>
    <w:p>
      <w:pPr>
        <w:pStyle w:val="36"/>
        <w:topLinePunct/>
        <w:rPr>
          <w:color w:val="auto"/>
        </w:rPr>
        <w:sectPr>
          <w:headerReference r:id="rId5" w:type="first"/>
          <w:footerReference r:id="rId8" w:type="first"/>
          <w:headerReference r:id="rId3" w:type="default"/>
          <w:footerReference r:id="rId6" w:type="default"/>
          <w:headerReference r:id="rId4" w:type="even"/>
          <w:footerReference r:id="rId7" w:type="even"/>
          <w:pgSz w:w="11906" w:h="16838"/>
          <w:pgMar w:top="1417" w:right="1531" w:bottom="1417" w:left="1531" w:header="851" w:footer="992" w:gutter="0"/>
          <w:pgBorders>
            <w:top w:val="none" w:sz="0" w:space="0"/>
            <w:left w:val="none" w:sz="0" w:space="0"/>
            <w:bottom w:val="none" w:sz="0" w:space="0"/>
            <w:right w:val="none" w:sz="0" w:space="0"/>
          </w:pgBorders>
          <w:cols w:space="720" w:num="1"/>
          <w:docGrid w:linePitch="312" w:charSpace="0"/>
        </w:sectPr>
      </w:pPr>
    </w:p>
    <w:tbl>
      <w:tblPr>
        <w:tblStyle w:val="40"/>
        <w:tblW w:w="13936"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393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397" w:hRule="atLeast"/>
          <w:jc w:val="center"/>
        </w:trPr>
        <w:tc>
          <w:tcPr>
            <w:tcW w:w="13936" w:type="dxa"/>
          </w:tcPr>
          <w:p>
            <w:pPr>
              <w:pStyle w:val="56"/>
              <w:rPr>
                <w:color w:val="auto"/>
              </w:rPr>
            </w:pPr>
            <w:r>
              <w:rPr>
                <w:color w:val="auto"/>
              </w:rPr>
              <w:t>表</w:t>
            </w:r>
            <w:r>
              <w:rPr>
                <w:rFonts w:hint="eastAsia"/>
                <w:color w:val="auto"/>
                <w:lang w:val="en-US" w:eastAsia="zh-CN"/>
              </w:rPr>
              <w:t>8-1</w:t>
            </w:r>
            <w:r>
              <w:rPr>
                <w:color w:val="auto"/>
              </w:rPr>
              <w:t xml:space="preserve">  建设项目</w:t>
            </w:r>
            <w:r>
              <w:rPr>
                <w:rFonts w:hint="eastAsia"/>
                <w:color w:val="auto"/>
              </w:rPr>
              <w:t>污染物排放清单</w:t>
            </w:r>
          </w:p>
          <w:tbl>
            <w:tblPr>
              <w:tblStyle w:val="39"/>
              <w:tblW w:w="1343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2"/>
              <w:gridCol w:w="1397"/>
              <w:gridCol w:w="1169"/>
              <w:gridCol w:w="1685"/>
              <w:gridCol w:w="1559"/>
              <w:gridCol w:w="2835"/>
              <w:gridCol w:w="1015"/>
              <w:gridCol w:w="731"/>
              <w:gridCol w:w="120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Align w:val="center"/>
                </w:tcPr>
                <w:p>
                  <w:pPr>
                    <w:pStyle w:val="57"/>
                    <w:rPr>
                      <w:snapToGrid w:val="0"/>
                      <w:color w:val="auto"/>
                    </w:rPr>
                  </w:pPr>
                  <w:r>
                    <w:rPr>
                      <w:snapToGrid w:val="0"/>
                      <w:color w:val="auto"/>
                    </w:rPr>
                    <w:t>类别</w:t>
                  </w:r>
                </w:p>
              </w:tc>
              <w:tc>
                <w:tcPr>
                  <w:tcW w:w="1132" w:type="dxa"/>
                  <w:vAlign w:val="center"/>
                </w:tcPr>
                <w:p>
                  <w:pPr>
                    <w:pStyle w:val="57"/>
                    <w:rPr>
                      <w:snapToGrid w:val="0"/>
                      <w:color w:val="auto"/>
                    </w:rPr>
                  </w:pPr>
                  <w:r>
                    <w:rPr>
                      <w:snapToGrid w:val="0"/>
                      <w:color w:val="auto"/>
                    </w:rPr>
                    <w:t>污染源</w:t>
                  </w:r>
                </w:p>
              </w:tc>
              <w:tc>
                <w:tcPr>
                  <w:tcW w:w="1397" w:type="dxa"/>
                  <w:vAlign w:val="center"/>
                </w:tcPr>
                <w:p>
                  <w:pPr>
                    <w:pStyle w:val="57"/>
                    <w:rPr>
                      <w:snapToGrid w:val="0"/>
                      <w:color w:val="auto"/>
                    </w:rPr>
                  </w:pPr>
                  <w:r>
                    <w:rPr>
                      <w:snapToGrid w:val="0"/>
                      <w:color w:val="auto"/>
                    </w:rPr>
                    <w:t>污染物种类</w:t>
                  </w:r>
                </w:p>
              </w:tc>
              <w:tc>
                <w:tcPr>
                  <w:tcW w:w="1169" w:type="dxa"/>
                  <w:vAlign w:val="center"/>
                </w:tcPr>
                <w:p>
                  <w:pPr>
                    <w:pStyle w:val="57"/>
                    <w:rPr>
                      <w:snapToGrid w:val="0"/>
                      <w:color w:val="auto"/>
                    </w:rPr>
                  </w:pPr>
                  <w:r>
                    <w:rPr>
                      <w:snapToGrid w:val="0"/>
                      <w:color w:val="auto"/>
                    </w:rPr>
                    <w:t>拟采取的环保措施</w:t>
                  </w:r>
                </w:p>
              </w:tc>
              <w:tc>
                <w:tcPr>
                  <w:tcW w:w="1685" w:type="dxa"/>
                  <w:vAlign w:val="center"/>
                </w:tcPr>
                <w:p>
                  <w:pPr>
                    <w:pStyle w:val="57"/>
                    <w:rPr>
                      <w:snapToGrid w:val="0"/>
                      <w:color w:val="auto"/>
                    </w:rPr>
                  </w:pPr>
                  <w:r>
                    <w:rPr>
                      <w:snapToGrid w:val="0"/>
                      <w:color w:val="auto"/>
                    </w:rPr>
                    <w:t>排放标准</w:t>
                  </w:r>
                </w:p>
              </w:tc>
              <w:tc>
                <w:tcPr>
                  <w:tcW w:w="1559" w:type="dxa"/>
                  <w:vAlign w:val="center"/>
                </w:tcPr>
                <w:p>
                  <w:pPr>
                    <w:pStyle w:val="57"/>
                    <w:rPr>
                      <w:snapToGrid w:val="0"/>
                      <w:color w:val="auto"/>
                    </w:rPr>
                  </w:pPr>
                  <w:r>
                    <w:rPr>
                      <w:snapToGrid w:val="0"/>
                      <w:color w:val="auto"/>
                    </w:rPr>
                    <w:t>排污总量</w:t>
                  </w:r>
                  <w:r>
                    <w:rPr>
                      <w:color w:val="auto"/>
                      <w:spacing w:val="6"/>
                    </w:rPr>
                    <w:t>kg/a</w:t>
                  </w:r>
                </w:p>
              </w:tc>
              <w:tc>
                <w:tcPr>
                  <w:tcW w:w="2835" w:type="dxa"/>
                  <w:vAlign w:val="center"/>
                </w:tcPr>
                <w:p>
                  <w:pPr>
                    <w:pStyle w:val="57"/>
                    <w:rPr>
                      <w:snapToGrid w:val="0"/>
                      <w:color w:val="auto"/>
                    </w:rPr>
                  </w:pPr>
                  <w:r>
                    <w:rPr>
                      <w:snapToGrid w:val="0"/>
                      <w:color w:val="auto"/>
                    </w:rPr>
                    <w:t>验收标准</w:t>
                  </w:r>
                </w:p>
              </w:tc>
              <w:tc>
                <w:tcPr>
                  <w:tcW w:w="1015" w:type="dxa"/>
                  <w:vAlign w:val="center"/>
                </w:tcPr>
                <w:p>
                  <w:pPr>
                    <w:pStyle w:val="57"/>
                    <w:rPr>
                      <w:snapToGrid w:val="0"/>
                      <w:color w:val="auto"/>
                    </w:rPr>
                  </w:pPr>
                  <w:r>
                    <w:rPr>
                      <w:snapToGrid w:val="0"/>
                      <w:color w:val="auto"/>
                    </w:rPr>
                    <w:t>采样位置</w:t>
                  </w:r>
                </w:p>
              </w:tc>
              <w:tc>
                <w:tcPr>
                  <w:tcW w:w="731" w:type="dxa"/>
                  <w:vAlign w:val="center"/>
                </w:tcPr>
                <w:p>
                  <w:pPr>
                    <w:pStyle w:val="57"/>
                    <w:rPr>
                      <w:snapToGrid w:val="0"/>
                      <w:color w:val="auto"/>
                    </w:rPr>
                  </w:pPr>
                  <w:r>
                    <w:rPr>
                      <w:snapToGrid w:val="0"/>
                      <w:color w:val="auto"/>
                    </w:rPr>
                    <w:t>排放方式</w:t>
                  </w:r>
                </w:p>
              </w:tc>
              <w:tc>
                <w:tcPr>
                  <w:tcW w:w="1203" w:type="dxa"/>
                  <w:vAlign w:val="center"/>
                </w:tcPr>
                <w:p>
                  <w:pPr>
                    <w:pStyle w:val="57"/>
                    <w:rPr>
                      <w:snapToGrid w:val="0"/>
                      <w:color w:val="auto"/>
                    </w:rPr>
                  </w:pPr>
                  <w:r>
                    <w:rPr>
                      <w:snapToGrid w:val="0"/>
                      <w:color w:val="auto"/>
                    </w:rPr>
                    <w:t>去向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restart"/>
                  <w:vAlign w:val="center"/>
                </w:tcPr>
                <w:p>
                  <w:pPr>
                    <w:pStyle w:val="57"/>
                    <w:rPr>
                      <w:snapToGrid w:val="0"/>
                      <w:color w:val="auto"/>
                    </w:rPr>
                  </w:pPr>
                  <w:r>
                    <w:rPr>
                      <w:snapToGrid w:val="0"/>
                      <w:color w:val="auto"/>
                    </w:rPr>
                    <w:t>废水</w:t>
                  </w:r>
                </w:p>
              </w:tc>
              <w:tc>
                <w:tcPr>
                  <w:tcW w:w="1132" w:type="dxa"/>
                  <w:vMerge w:val="restart"/>
                  <w:vAlign w:val="center"/>
                </w:tcPr>
                <w:p>
                  <w:pPr>
                    <w:pStyle w:val="57"/>
                    <w:rPr>
                      <w:color w:val="auto"/>
                    </w:rPr>
                  </w:pPr>
                  <w:r>
                    <w:rPr>
                      <w:color w:val="auto"/>
                    </w:rPr>
                    <w:t>生活污水</w:t>
                  </w:r>
                </w:p>
              </w:tc>
              <w:tc>
                <w:tcPr>
                  <w:tcW w:w="1397" w:type="dxa"/>
                  <w:vAlign w:val="center"/>
                </w:tcPr>
                <w:p>
                  <w:pPr>
                    <w:pStyle w:val="57"/>
                    <w:rPr>
                      <w:color w:val="auto"/>
                    </w:rPr>
                  </w:pPr>
                  <w:r>
                    <w:rPr>
                      <w:color w:val="auto"/>
                    </w:rPr>
                    <w:t>COD</w:t>
                  </w:r>
                  <w:r>
                    <w:rPr>
                      <w:color w:val="auto"/>
                      <w:vertAlign w:val="subscript"/>
                    </w:rPr>
                    <w:t>Cr</w:t>
                  </w:r>
                </w:p>
              </w:tc>
              <w:tc>
                <w:tcPr>
                  <w:tcW w:w="1169" w:type="dxa"/>
                  <w:vMerge w:val="restart"/>
                  <w:vAlign w:val="center"/>
                </w:tcPr>
                <w:p>
                  <w:pPr>
                    <w:pStyle w:val="57"/>
                    <w:rPr>
                      <w:snapToGrid w:val="0"/>
                      <w:color w:val="auto"/>
                    </w:rPr>
                  </w:pPr>
                  <w:r>
                    <w:rPr>
                      <w:rFonts w:hint="eastAsia"/>
                      <w:color w:val="auto"/>
                      <w:sz w:val="21"/>
                      <w:szCs w:val="21"/>
                      <w:lang w:eastAsia="zh-CN"/>
                    </w:rPr>
                    <w:t>“隔油隔渣池</w:t>
                  </w:r>
                  <w:r>
                    <w:rPr>
                      <w:rFonts w:hint="eastAsia"/>
                      <w:color w:val="auto"/>
                      <w:sz w:val="21"/>
                      <w:szCs w:val="21"/>
                      <w:lang w:val="en-US" w:eastAsia="zh-CN"/>
                    </w:rPr>
                    <w:t>+</w:t>
                  </w:r>
                  <w:r>
                    <w:rPr>
                      <w:color w:val="auto"/>
                      <w:sz w:val="21"/>
                      <w:szCs w:val="21"/>
                    </w:rPr>
                    <w:t>三级化粪池</w:t>
                  </w:r>
                  <w:r>
                    <w:rPr>
                      <w:rFonts w:hint="eastAsia"/>
                      <w:color w:val="auto"/>
                      <w:sz w:val="21"/>
                      <w:szCs w:val="21"/>
                      <w:lang w:eastAsia="zh-CN"/>
                    </w:rPr>
                    <w:t>”</w:t>
                  </w:r>
                </w:p>
              </w:tc>
              <w:tc>
                <w:tcPr>
                  <w:tcW w:w="1685" w:type="dxa"/>
                  <w:vAlign w:val="center"/>
                </w:tcPr>
                <w:p>
                  <w:pPr>
                    <w:pStyle w:val="57"/>
                    <w:rPr>
                      <w:snapToGrid w:val="0"/>
                      <w:color w:val="auto"/>
                    </w:rPr>
                  </w:pPr>
                  <w:r>
                    <w:rPr>
                      <w:color w:val="auto"/>
                    </w:rPr>
                    <w:t>500mg/L</w:t>
                  </w:r>
                </w:p>
              </w:tc>
              <w:tc>
                <w:tcPr>
                  <w:tcW w:w="1559" w:type="dxa"/>
                  <w:vAlign w:val="center"/>
                </w:tcPr>
                <w:p>
                  <w:pPr>
                    <w:pStyle w:val="57"/>
                    <w:rPr>
                      <w:color w:val="auto"/>
                    </w:rPr>
                  </w:pPr>
                  <w:r>
                    <w:rPr>
                      <w:rFonts w:hint="eastAsia"/>
                      <w:color w:val="auto"/>
                    </w:rPr>
                    <w:t>0</w:t>
                  </w:r>
                </w:p>
              </w:tc>
              <w:tc>
                <w:tcPr>
                  <w:tcW w:w="2835" w:type="dxa"/>
                  <w:vMerge w:val="restart"/>
                  <w:vAlign w:val="center"/>
                </w:tcPr>
                <w:p>
                  <w:pPr>
                    <w:pStyle w:val="57"/>
                    <w:rPr>
                      <w:snapToGrid w:val="0"/>
                      <w:color w:val="auto"/>
                    </w:rPr>
                  </w:pPr>
                  <w:r>
                    <w:rPr>
                      <w:rFonts w:hint="eastAsia"/>
                      <w:snapToGrid w:val="0"/>
                      <w:color w:val="auto"/>
                    </w:rPr>
                    <w:t>《农田灌溉水质标准》（GB5084-2005）旱作标准回用作周边林地灌溉</w:t>
                  </w:r>
                </w:p>
              </w:tc>
              <w:tc>
                <w:tcPr>
                  <w:tcW w:w="1015" w:type="dxa"/>
                  <w:vMerge w:val="restart"/>
                  <w:vAlign w:val="center"/>
                </w:tcPr>
                <w:p>
                  <w:pPr>
                    <w:pStyle w:val="57"/>
                    <w:rPr>
                      <w:snapToGrid w:val="0"/>
                      <w:color w:val="auto"/>
                    </w:rPr>
                  </w:pPr>
                  <w:r>
                    <w:rPr>
                      <w:rFonts w:hint="eastAsia"/>
                      <w:snapToGrid w:val="0"/>
                      <w:color w:val="auto"/>
                      <w:lang w:eastAsia="zh-CN"/>
                    </w:rPr>
                    <w:t>暂存池</w:t>
                  </w:r>
                  <w:r>
                    <w:rPr>
                      <w:snapToGrid w:val="0"/>
                      <w:color w:val="auto"/>
                    </w:rPr>
                    <w:t>出口</w:t>
                  </w:r>
                </w:p>
              </w:tc>
              <w:tc>
                <w:tcPr>
                  <w:tcW w:w="731" w:type="dxa"/>
                  <w:vMerge w:val="restart"/>
                  <w:vAlign w:val="center"/>
                </w:tcPr>
                <w:p>
                  <w:pPr>
                    <w:pStyle w:val="57"/>
                    <w:rPr>
                      <w:snapToGrid w:val="0"/>
                      <w:color w:val="auto"/>
                    </w:rPr>
                  </w:pPr>
                  <w:r>
                    <w:rPr>
                      <w:rFonts w:hint="eastAsia"/>
                      <w:snapToGrid w:val="0"/>
                      <w:color w:val="auto"/>
                    </w:rPr>
                    <w:t>不外排</w:t>
                  </w:r>
                </w:p>
              </w:tc>
              <w:tc>
                <w:tcPr>
                  <w:tcW w:w="1203" w:type="dxa"/>
                  <w:vMerge w:val="restart"/>
                  <w:vAlign w:val="center"/>
                </w:tcPr>
                <w:p>
                  <w:pPr>
                    <w:pStyle w:val="57"/>
                    <w:rPr>
                      <w:snapToGrid w:val="0"/>
                      <w:color w:val="auto"/>
                    </w:rPr>
                  </w:pPr>
                  <w:r>
                    <w:rPr>
                      <w:rFonts w:hint="eastAsia"/>
                      <w:snapToGrid w:val="0"/>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continue"/>
                  <w:vAlign w:val="center"/>
                </w:tcPr>
                <w:p>
                  <w:pPr>
                    <w:pStyle w:val="57"/>
                    <w:rPr>
                      <w:snapToGrid w:val="0"/>
                      <w:color w:val="auto"/>
                    </w:rPr>
                  </w:pPr>
                </w:p>
              </w:tc>
              <w:tc>
                <w:tcPr>
                  <w:tcW w:w="1132" w:type="dxa"/>
                  <w:vMerge w:val="continue"/>
                  <w:vAlign w:val="center"/>
                </w:tcPr>
                <w:p>
                  <w:pPr>
                    <w:pStyle w:val="57"/>
                    <w:rPr>
                      <w:color w:val="auto"/>
                    </w:rPr>
                  </w:pPr>
                </w:p>
              </w:tc>
              <w:tc>
                <w:tcPr>
                  <w:tcW w:w="1397" w:type="dxa"/>
                  <w:vAlign w:val="center"/>
                </w:tcPr>
                <w:p>
                  <w:pPr>
                    <w:pStyle w:val="57"/>
                    <w:rPr>
                      <w:color w:val="auto"/>
                    </w:rPr>
                  </w:pPr>
                  <w:r>
                    <w:rPr>
                      <w:color w:val="auto"/>
                    </w:rPr>
                    <w:t>BOD</w:t>
                  </w:r>
                  <w:r>
                    <w:rPr>
                      <w:color w:val="auto"/>
                      <w:vertAlign w:val="subscript"/>
                    </w:rPr>
                    <w:t>5</w:t>
                  </w:r>
                </w:p>
              </w:tc>
              <w:tc>
                <w:tcPr>
                  <w:tcW w:w="1169" w:type="dxa"/>
                  <w:vMerge w:val="continue"/>
                  <w:vAlign w:val="center"/>
                </w:tcPr>
                <w:p>
                  <w:pPr>
                    <w:pStyle w:val="57"/>
                    <w:rPr>
                      <w:snapToGrid w:val="0"/>
                      <w:color w:val="auto"/>
                    </w:rPr>
                  </w:pPr>
                </w:p>
              </w:tc>
              <w:tc>
                <w:tcPr>
                  <w:tcW w:w="1685" w:type="dxa"/>
                  <w:vAlign w:val="center"/>
                </w:tcPr>
                <w:p>
                  <w:pPr>
                    <w:pStyle w:val="57"/>
                    <w:rPr>
                      <w:snapToGrid w:val="0"/>
                      <w:color w:val="auto"/>
                    </w:rPr>
                  </w:pPr>
                  <w:r>
                    <w:rPr>
                      <w:color w:val="auto"/>
                    </w:rPr>
                    <w:t>300mg/L</w:t>
                  </w:r>
                </w:p>
              </w:tc>
              <w:tc>
                <w:tcPr>
                  <w:tcW w:w="1559" w:type="dxa"/>
                  <w:vAlign w:val="center"/>
                </w:tcPr>
                <w:p>
                  <w:pPr>
                    <w:pStyle w:val="57"/>
                    <w:rPr>
                      <w:color w:val="auto"/>
                    </w:rPr>
                  </w:pPr>
                  <w:r>
                    <w:rPr>
                      <w:rFonts w:hint="eastAsia"/>
                      <w:color w:val="auto"/>
                    </w:rPr>
                    <w:t>0</w:t>
                  </w:r>
                </w:p>
              </w:tc>
              <w:tc>
                <w:tcPr>
                  <w:tcW w:w="2835" w:type="dxa"/>
                  <w:vMerge w:val="continue"/>
                  <w:vAlign w:val="center"/>
                </w:tcPr>
                <w:p>
                  <w:pPr>
                    <w:pStyle w:val="57"/>
                    <w:rPr>
                      <w:snapToGrid w:val="0"/>
                      <w:color w:val="auto"/>
                    </w:rPr>
                  </w:pPr>
                </w:p>
              </w:tc>
              <w:tc>
                <w:tcPr>
                  <w:tcW w:w="1015" w:type="dxa"/>
                  <w:vMerge w:val="continue"/>
                  <w:vAlign w:val="center"/>
                </w:tcPr>
                <w:p>
                  <w:pPr>
                    <w:pStyle w:val="57"/>
                    <w:rPr>
                      <w:snapToGrid w:val="0"/>
                      <w:color w:val="auto"/>
                    </w:rPr>
                  </w:pPr>
                </w:p>
              </w:tc>
              <w:tc>
                <w:tcPr>
                  <w:tcW w:w="731" w:type="dxa"/>
                  <w:vMerge w:val="continue"/>
                  <w:vAlign w:val="center"/>
                </w:tcPr>
                <w:p>
                  <w:pPr>
                    <w:pStyle w:val="57"/>
                    <w:rPr>
                      <w:snapToGrid w:val="0"/>
                      <w:color w:val="auto"/>
                    </w:rPr>
                  </w:pPr>
                </w:p>
              </w:tc>
              <w:tc>
                <w:tcPr>
                  <w:tcW w:w="1203" w:type="dxa"/>
                  <w:vMerge w:val="continue"/>
                  <w:vAlign w:val="center"/>
                </w:tcPr>
                <w:p>
                  <w:pPr>
                    <w:pStyle w:val="57"/>
                    <w:rPr>
                      <w:snapToGrid w:val="0"/>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continue"/>
                  <w:vAlign w:val="center"/>
                </w:tcPr>
                <w:p>
                  <w:pPr>
                    <w:pStyle w:val="57"/>
                    <w:rPr>
                      <w:snapToGrid w:val="0"/>
                      <w:color w:val="auto"/>
                    </w:rPr>
                  </w:pPr>
                </w:p>
              </w:tc>
              <w:tc>
                <w:tcPr>
                  <w:tcW w:w="1132" w:type="dxa"/>
                  <w:vMerge w:val="continue"/>
                  <w:vAlign w:val="center"/>
                </w:tcPr>
                <w:p>
                  <w:pPr>
                    <w:pStyle w:val="57"/>
                    <w:rPr>
                      <w:color w:val="auto"/>
                    </w:rPr>
                  </w:pPr>
                </w:p>
              </w:tc>
              <w:tc>
                <w:tcPr>
                  <w:tcW w:w="1397" w:type="dxa"/>
                  <w:vAlign w:val="center"/>
                </w:tcPr>
                <w:p>
                  <w:pPr>
                    <w:pStyle w:val="57"/>
                    <w:rPr>
                      <w:color w:val="auto"/>
                    </w:rPr>
                  </w:pPr>
                  <w:r>
                    <w:rPr>
                      <w:color w:val="auto"/>
                    </w:rPr>
                    <w:t>SS</w:t>
                  </w:r>
                </w:p>
              </w:tc>
              <w:tc>
                <w:tcPr>
                  <w:tcW w:w="1169" w:type="dxa"/>
                  <w:vMerge w:val="continue"/>
                  <w:vAlign w:val="center"/>
                </w:tcPr>
                <w:p>
                  <w:pPr>
                    <w:pStyle w:val="57"/>
                    <w:rPr>
                      <w:snapToGrid w:val="0"/>
                      <w:color w:val="auto"/>
                    </w:rPr>
                  </w:pPr>
                </w:p>
              </w:tc>
              <w:tc>
                <w:tcPr>
                  <w:tcW w:w="1685" w:type="dxa"/>
                  <w:vAlign w:val="center"/>
                </w:tcPr>
                <w:p>
                  <w:pPr>
                    <w:pStyle w:val="57"/>
                    <w:rPr>
                      <w:snapToGrid w:val="0"/>
                      <w:color w:val="auto"/>
                    </w:rPr>
                  </w:pPr>
                  <w:r>
                    <w:rPr>
                      <w:color w:val="auto"/>
                    </w:rPr>
                    <w:t>400mg/L</w:t>
                  </w:r>
                </w:p>
              </w:tc>
              <w:tc>
                <w:tcPr>
                  <w:tcW w:w="1559" w:type="dxa"/>
                  <w:vAlign w:val="center"/>
                </w:tcPr>
                <w:p>
                  <w:pPr>
                    <w:pStyle w:val="57"/>
                    <w:rPr>
                      <w:color w:val="auto"/>
                    </w:rPr>
                  </w:pPr>
                  <w:r>
                    <w:rPr>
                      <w:rFonts w:hint="eastAsia"/>
                      <w:color w:val="auto"/>
                    </w:rPr>
                    <w:t>0</w:t>
                  </w:r>
                </w:p>
              </w:tc>
              <w:tc>
                <w:tcPr>
                  <w:tcW w:w="2835" w:type="dxa"/>
                  <w:vMerge w:val="continue"/>
                  <w:vAlign w:val="center"/>
                </w:tcPr>
                <w:p>
                  <w:pPr>
                    <w:pStyle w:val="57"/>
                    <w:rPr>
                      <w:snapToGrid w:val="0"/>
                      <w:color w:val="auto"/>
                    </w:rPr>
                  </w:pPr>
                </w:p>
              </w:tc>
              <w:tc>
                <w:tcPr>
                  <w:tcW w:w="1015" w:type="dxa"/>
                  <w:vMerge w:val="continue"/>
                  <w:vAlign w:val="center"/>
                </w:tcPr>
                <w:p>
                  <w:pPr>
                    <w:pStyle w:val="57"/>
                    <w:rPr>
                      <w:snapToGrid w:val="0"/>
                      <w:color w:val="auto"/>
                    </w:rPr>
                  </w:pPr>
                </w:p>
              </w:tc>
              <w:tc>
                <w:tcPr>
                  <w:tcW w:w="731" w:type="dxa"/>
                  <w:vMerge w:val="continue"/>
                  <w:vAlign w:val="center"/>
                </w:tcPr>
                <w:p>
                  <w:pPr>
                    <w:pStyle w:val="57"/>
                    <w:rPr>
                      <w:snapToGrid w:val="0"/>
                      <w:color w:val="auto"/>
                    </w:rPr>
                  </w:pPr>
                </w:p>
              </w:tc>
              <w:tc>
                <w:tcPr>
                  <w:tcW w:w="1203" w:type="dxa"/>
                  <w:vMerge w:val="continue"/>
                  <w:vAlign w:val="center"/>
                </w:tcPr>
                <w:p>
                  <w:pPr>
                    <w:pStyle w:val="57"/>
                    <w:rPr>
                      <w:snapToGrid w:val="0"/>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continue"/>
                  <w:vAlign w:val="center"/>
                </w:tcPr>
                <w:p>
                  <w:pPr>
                    <w:pStyle w:val="57"/>
                    <w:rPr>
                      <w:snapToGrid w:val="0"/>
                      <w:color w:val="auto"/>
                    </w:rPr>
                  </w:pPr>
                </w:p>
              </w:tc>
              <w:tc>
                <w:tcPr>
                  <w:tcW w:w="1132" w:type="dxa"/>
                  <w:vMerge w:val="continue"/>
                  <w:vAlign w:val="center"/>
                </w:tcPr>
                <w:p>
                  <w:pPr>
                    <w:pStyle w:val="57"/>
                    <w:rPr>
                      <w:color w:val="auto"/>
                    </w:rPr>
                  </w:pPr>
                </w:p>
              </w:tc>
              <w:tc>
                <w:tcPr>
                  <w:tcW w:w="1397" w:type="dxa"/>
                  <w:vAlign w:val="center"/>
                </w:tcPr>
                <w:p>
                  <w:pPr>
                    <w:pStyle w:val="57"/>
                    <w:rPr>
                      <w:color w:val="auto"/>
                    </w:rPr>
                  </w:pPr>
                  <w:r>
                    <w:rPr>
                      <w:rFonts w:hint="eastAsia"/>
                      <w:color w:val="auto"/>
                      <w:lang w:eastAsia="zh-CN"/>
                    </w:rPr>
                    <w:t>动植物油</w:t>
                  </w:r>
                </w:p>
              </w:tc>
              <w:tc>
                <w:tcPr>
                  <w:tcW w:w="1169" w:type="dxa"/>
                  <w:vMerge w:val="continue"/>
                  <w:vAlign w:val="center"/>
                </w:tcPr>
                <w:p>
                  <w:pPr>
                    <w:pStyle w:val="57"/>
                    <w:rPr>
                      <w:snapToGrid w:val="0"/>
                      <w:color w:val="auto"/>
                    </w:rPr>
                  </w:pPr>
                </w:p>
              </w:tc>
              <w:tc>
                <w:tcPr>
                  <w:tcW w:w="1685" w:type="dxa"/>
                  <w:vAlign w:val="center"/>
                </w:tcPr>
                <w:p>
                  <w:pPr>
                    <w:pStyle w:val="57"/>
                    <w:rPr>
                      <w:rFonts w:hint="eastAsia" w:eastAsia="宋体"/>
                      <w:color w:val="auto"/>
                      <w:lang w:val="en-US" w:eastAsia="zh-CN"/>
                    </w:rPr>
                  </w:pPr>
                  <w:r>
                    <w:rPr>
                      <w:rFonts w:hint="eastAsia"/>
                      <w:color w:val="auto"/>
                      <w:lang w:val="en-US" w:eastAsia="zh-CN"/>
                    </w:rPr>
                    <w:t>/</w:t>
                  </w:r>
                </w:p>
              </w:tc>
              <w:tc>
                <w:tcPr>
                  <w:tcW w:w="1559" w:type="dxa"/>
                  <w:vAlign w:val="center"/>
                </w:tcPr>
                <w:p>
                  <w:pPr>
                    <w:pStyle w:val="57"/>
                    <w:rPr>
                      <w:rFonts w:hint="eastAsia" w:eastAsia="宋体"/>
                      <w:color w:val="auto"/>
                      <w:lang w:val="en-US" w:eastAsia="zh-CN"/>
                    </w:rPr>
                  </w:pPr>
                  <w:r>
                    <w:rPr>
                      <w:rFonts w:hint="eastAsia"/>
                      <w:color w:val="auto"/>
                      <w:lang w:val="en-US" w:eastAsia="zh-CN"/>
                    </w:rPr>
                    <w:t>0</w:t>
                  </w:r>
                </w:p>
              </w:tc>
              <w:tc>
                <w:tcPr>
                  <w:tcW w:w="2835" w:type="dxa"/>
                  <w:vMerge w:val="continue"/>
                  <w:vAlign w:val="center"/>
                </w:tcPr>
                <w:p>
                  <w:pPr>
                    <w:pStyle w:val="57"/>
                    <w:rPr>
                      <w:snapToGrid w:val="0"/>
                      <w:color w:val="auto"/>
                    </w:rPr>
                  </w:pPr>
                </w:p>
              </w:tc>
              <w:tc>
                <w:tcPr>
                  <w:tcW w:w="1015" w:type="dxa"/>
                  <w:vMerge w:val="continue"/>
                  <w:vAlign w:val="center"/>
                </w:tcPr>
                <w:p>
                  <w:pPr>
                    <w:pStyle w:val="57"/>
                    <w:rPr>
                      <w:snapToGrid w:val="0"/>
                      <w:color w:val="auto"/>
                    </w:rPr>
                  </w:pPr>
                </w:p>
              </w:tc>
              <w:tc>
                <w:tcPr>
                  <w:tcW w:w="731" w:type="dxa"/>
                  <w:vMerge w:val="continue"/>
                  <w:vAlign w:val="center"/>
                </w:tcPr>
                <w:p>
                  <w:pPr>
                    <w:pStyle w:val="57"/>
                    <w:rPr>
                      <w:snapToGrid w:val="0"/>
                      <w:color w:val="auto"/>
                    </w:rPr>
                  </w:pPr>
                </w:p>
              </w:tc>
              <w:tc>
                <w:tcPr>
                  <w:tcW w:w="1203" w:type="dxa"/>
                  <w:vMerge w:val="continue"/>
                  <w:vAlign w:val="center"/>
                </w:tcPr>
                <w:p>
                  <w:pPr>
                    <w:pStyle w:val="57"/>
                    <w:rPr>
                      <w:snapToGrid w:val="0"/>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restart"/>
                  <w:vAlign w:val="center"/>
                </w:tcPr>
                <w:p>
                  <w:pPr>
                    <w:pStyle w:val="57"/>
                    <w:rPr>
                      <w:snapToGrid w:val="0"/>
                      <w:color w:val="auto"/>
                    </w:rPr>
                  </w:pPr>
                  <w:r>
                    <w:rPr>
                      <w:snapToGrid w:val="0"/>
                      <w:color w:val="auto"/>
                    </w:rPr>
                    <w:t>固体废物</w:t>
                  </w:r>
                </w:p>
              </w:tc>
              <w:tc>
                <w:tcPr>
                  <w:tcW w:w="2529" w:type="dxa"/>
                  <w:gridSpan w:val="2"/>
                  <w:vAlign w:val="center"/>
                </w:tcPr>
                <w:p>
                  <w:pPr>
                    <w:pStyle w:val="57"/>
                    <w:rPr>
                      <w:color w:val="auto"/>
                    </w:rPr>
                  </w:pPr>
                  <w:r>
                    <w:rPr>
                      <w:color w:val="auto"/>
                    </w:rPr>
                    <w:t>生活垃圾</w:t>
                  </w:r>
                </w:p>
              </w:tc>
              <w:tc>
                <w:tcPr>
                  <w:tcW w:w="2854" w:type="dxa"/>
                  <w:gridSpan w:val="2"/>
                  <w:vAlign w:val="center"/>
                </w:tcPr>
                <w:p>
                  <w:pPr>
                    <w:pStyle w:val="57"/>
                    <w:rPr>
                      <w:snapToGrid w:val="0"/>
                      <w:color w:val="auto"/>
                    </w:rPr>
                  </w:pPr>
                  <w:r>
                    <w:rPr>
                      <w:color w:val="auto"/>
                    </w:rPr>
                    <w:t>收集交由环卫部门处理</w:t>
                  </w:r>
                </w:p>
              </w:tc>
              <w:tc>
                <w:tcPr>
                  <w:tcW w:w="1559" w:type="dxa"/>
                  <w:vAlign w:val="center"/>
                </w:tcPr>
                <w:p>
                  <w:pPr>
                    <w:pStyle w:val="57"/>
                    <w:rPr>
                      <w:color w:val="auto"/>
                    </w:rPr>
                  </w:pPr>
                  <w:r>
                    <w:rPr>
                      <w:color w:val="auto"/>
                    </w:rPr>
                    <w:t>0</w:t>
                  </w:r>
                </w:p>
              </w:tc>
              <w:tc>
                <w:tcPr>
                  <w:tcW w:w="2835" w:type="dxa"/>
                  <w:vAlign w:val="center"/>
                </w:tcPr>
                <w:p>
                  <w:pPr>
                    <w:pStyle w:val="57"/>
                    <w:rPr>
                      <w:snapToGrid w:val="0"/>
                      <w:color w:val="auto"/>
                    </w:rPr>
                  </w:pPr>
                  <w:r>
                    <w:rPr>
                      <w:color w:val="auto"/>
                    </w:rPr>
                    <w:t>符合环保要求</w:t>
                  </w:r>
                </w:p>
              </w:tc>
              <w:tc>
                <w:tcPr>
                  <w:tcW w:w="1015" w:type="dxa"/>
                  <w:vAlign w:val="center"/>
                </w:tcPr>
                <w:p>
                  <w:pPr>
                    <w:pStyle w:val="57"/>
                    <w:rPr>
                      <w:color w:val="auto"/>
                    </w:rPr>
                  </w:pPr>
                  <w:r>
                    <w:rPr>
                      <w:color w:val="auto"/>
                    </w:rPr>
                    <w:t>/</w:t>
                  </w:r>
                </w:p>
              </w:tc>
              <w:tc>
                <w:tcPr>
                  <w:tcW w:w="731" w:type="dxa"/>
                  <w:vAlign w:val="center"/>
                </w:tcPr>
                <w:p>
                  <w:pPr>
                    <w:pStyle w:val="57"/>
                    <w:rPr>
                      <w:color w:val="auto"/>
                    </w:rPr>
                  </w:pPr>
                  <w:r>
                    <w:rPr>
                      <w:color w:val="auto"/>
                    </w:rPr>
                    <w:t>/</w:t>
                  </w:r>
                </w:p>
              </w:tc>
              <w:tc>
                <w:tcPr>
                  <w:tcW w:w="1203" w:type="dxa"/>
                  <w:vAlign w:val="center"/>
                </w:tcPr>
                <w:p>
                  <w:pPr>
                    <w:pStyle w:val="57"/>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continue"/>
                  <w:vAlign w:val="center"/>
                </w:tcPr>
                <w:p>
                  <w:pPr>
                    <w:pStyle w:val="57"/>
                    <w:rPr>
                      <w:snapToGrid w:val="0"/>
                      <w:color w:val="auto"/>
                    </w:rPr>
                  </w:pPr>
                </w:p>
              </w:tc>
              <w:tc>
                <w:tcPr>
                  <w:tcW w:w="2529" w:type="dxa"/>
                  <w:gridSpan w:val="2"/>
                  <w:vAlign w:val="center"/>
                </w:tcPr>
                <w:p>
                  <w:pPr>
                    <w:pStyle w:val="57"/>
                    <w:rPr>
                      <w:color w:val="auto"/>
                    </w:rPr>
                  </w:pPr>
                  <w:r>
                    <w:rPr>
                      <w:rFonts w:hint="eastAsia"/>
                      <w:color w:val="auto"/>
                    </w:rPr>
                    <w:t>废包装材料</w:t>
                  </w:r>
                </w:p>
              </w:tc>
              <w:tc>
                <w:tcPr>
                  <w:tcW w:w="2854" w:type="dxa"/>
                  <w:gridSpan w:val="2"/>
                  <w:vAlign w:val="center"/>
                </w:tcPr>
                <w:p>
                  <w:pPr>
                    <w:pStyle w:val="57"/>
                    <w:rPr>
                      <w:snapToGrid w:val="0"/>
                      <w:color w:val="auto"/>
                    </w:rPr>
                  </w:pPr>
                  <w:r>
                    <w:rPr>
                      <w:color w:val="auto"/>
                    </w:rPr>
                    <w:t>统一收集后由污泥公司运走</w:t>
                  </w:r>
                </w:p>
              </w:tc>
              <w:tc>
                <w:tcPr>
                  <w:tcW w:w="1559" w:type="dxa"/>
                  <w:vAlign w:val="center"/>
                </w:tcPr>
                <w:p>
                  <w:pPr>
                    <w:pStyle w:val="57"/>
                    <w:rPr>
                      <w:color w:val="auto"/>
                    </w:rPr>
                  </w:pPr>
                  <w:r>
                    <w:rPr>
                      <w:color w:val="auto"/>
                    </w:rPr>
                    <w:t>0</w:t>
                  </w:r>
                </w:p>
              </w:tc>
              <w:tc>
                <w:tcPr>
                  <w:tcW w:w="2835" w:type="dxa"/>
                  <w:vAlign w:val="center"/>
                </w:tcPr>
                <w:p>
                  <w:pPr>
                    <w:pStyle w:val="57"/>
                    <w:rPr>
                      <w:snapToGrid w:val="0"/>
                      <w:color w:val="auto"/>
                    </w:rPr>
                  </w:pPr>
                  <w:r>
                    <w:rPr>
                      <w:color w:val="auto"/>
                    </w:rPr>
                    <w:t>符合环保要求</w:t>
                  </w:r>
                </w:p>
              </w:tc>
              <w:tc>
                <w:tcPr>
                  <w:tcW w:w="1015" w:type="dxa"/>
                  <w:vAlign w:val="center"/>
                </w:tcPr>
                <w:p>
                  <w:pPr>
                    <w:pStyle w:val="57"/>
                    <w:rPr>
                      <w:color w:val="auto"/>
                    </w:rPr>
                  </w:pPr>
                  <w:r>
                    <w:rPr>
                      <w:color w:val="auto"/>
                    </w:rPr>
                    <w:t>/</w:t>
                  </w:r>
                </w:p>
              </w:tc>
              <w:tc>
                <w:tcPr>
                  <w:tcW w:w="731" w:type="dxa"/>
                  <w:vAlign w:val="center"/>
                </w:tcPr>
                <w:p>
                  <w:pPr>
                    <w:pStyle w:val="57"/>
                    <w:rPr>
                      <w:color w:val="auto"/>
                    </w:rPr>
                  </w:pPr>
                  <w:r>
                    <w:rPr>
                      <w:color w:val="auto"/>
                    </w:rPr>
                    <w:t>/</w:t>
                  </w:r>
                </w:p>
              </w:tc>
              <w:tc>
                <w:tcPr>
                  <w:tcW w:w="1203" w:type="dxa"/>
                  <w:vAlign w:val="center"/>
                </w:tcPr>
                <w:p>
                  <w:pPr>
                    <w:pStyle w:val="57"/>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Merge w:val="continue"/>
                  <w:vAlign w:val="center"/>
                </w:tcPr>
                <w:p>
                  <w:pPr>
                    <w:pStyle w:val="57"/>
                    <w:rPr>
                      <w:snapToGrid w:val="0"/>
                      <w:color w:val="auto"/>
                    </w:rPr>
                  </w:pPr>
                </w:p>
              </w:tc>
              <w:tc>
                <w:tcPr>
                  <w:tcW w:w="2529" w:type="dxa"/>
                  <w:gridSpan w:val="2"/>
                  <w:vAlign w:val="center"/>
                </w:tcPr>
                <w:p>
                  <w:pPr>
                    <w:pStyle w:val="57"/>
                    <w:rPr>
                      <w:color w:val="auto"/>
                    </w:rPr>
                  </w:pPr>
                  <w:r>
                    <w:rPr>
                      <w:rFonts w:hint="eastAsia"/>
                      <w:color w:val="auto"/>
                    </w:rPr>
                    <w:t>净化过滤池沉渣</w:t>
                  </w:r>
                </w:p>
              </w:tc>
              <w:tc>
                <w:tcPr>
                  <w:tcW w:w="2854" w:type="dxa"/>
                  <w:gridSpan w:val="2"/>
                  <w:vAlign w:val="center"/>
                </w:tcPr>
                <w:p>
                  <w:pPr>
                    <w:pStyle w:val="57"/>
                    <w:rPr>
                      <w:color w:val="auto"/>
                    </w:rPr>
                  </w:pPr>
                  <w:r>
                    <w:rPr>
                      <w:color w:val="auto"/>
                    </w:rPr>
                    <w:t>收集交由环卫部门处理</w:t>
                  </w:r>
                </w:p>
              </w:tc>
              <w:tc>
                <w:tcPr>
                  <w:tcW w:w="1559" w:type="dxa"/>
                  <w:vAlign w:val="center"/>
                </w:tcPr>
                <w:p>
                  <w:pPr>
                    <w:pStyle w:val="57"/>
                    <w:rPr>
                      <w:color w:val="auto"/>
                    </w:rPr>
                  </w:pPr>
                  <w:r>
                    <w:rPr>
                      <w:color w:val="auto"/>
                    </w:rPr>
                    <w:t>0</w:t>
                  </w:r>
                </w:p>
              </w:tc>
              <w:tc>
                <w:tcPr>
                  <w:tcW w:w="2835" w:type="dxa"/>
                  <w:vAlign w:val="center"/>
                </w:tcPr>
                <w:p>
                  <w:pPr>
                    <w:pStyle w:val="57"/>
                    <w:rPr>
                      <w:snapToGrid w:val="0"/>
                      <w:color w:val="auto"/>
                    </w:rPr>
                  </w:pPr>
                  <w:r>
                    <w:rPr>
                      <w:color w:val="auto"/>
                    </w:rPr>
                    <w:t>符合环保要求</w:t>
                  </w:r>
                </w:p>
              </w:tc>
              <w:tc>
                <w:tcPr>
                  <w:tcW w:w="1015" w:type="dxa"/>
                  <w:vAlign w:val="center"/>
                </w:tcPr>
                <w:p>
                  <w:pPr>
                    <w:pStyle w:val="57"/>
                    <w:rPr>
                      <w:color w:val="auto"/>
                    </w:rPr>
                  </w:pPr>
                  <w:r>
                    <w:rPr>
                      <w:color w:val="auto"/>
                    </w:rPr>
                    <w:t>/</w:t>
                  </w:r>
                </w:p>
              </w:tc>
              <w:tc>
                <w:tcPr>
                  <w:tcW w:w="731" w:type="dxa"/>
                  <w:vAlign w:val="center"/>
                </w:tcPr>
                <w:p>
                  <w:pPr>
                    <w:pStyle w:val="57"/>
                    <w:rPr>
                      <w:color w:val="auto"/>
                    </w:rPr>
                  </w:pPr>
                  <w:r>
                    <w:rPr>
                      <w:color w:val="auto"/>
                    </w:rPr>
                    <w:t>/</w:t>
                  </w:r>
                </w:p>
              </w:tc>
              <w:tc>
                <w:tcPr>
                  <w:tcW w:w="1203" w:type="dxa"/>
                  <w:vAlign w:val="center"/>
                </w:tcPr>
                <w:p>
                  <w:pPr>
                    <w:pStyle w:val="57"/>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09" w:type="dxa"/>
                  <w:vAlign w:val="center"/>
                </w:tcPr>
                <w:p>
                  <w:pPr>
                    <w:pStyle w:val="57"/>
                    <w:rPr>
                      <w:snapToGrid w:val="0"/>
                      <w:color w:val="auto"/>
                    </w:rPr>
                  </w:pPr>
                  <w:r>
                    <w:rPr>
                      <w:snapToGrid w:val="0"/>
                      <w:color w:val="auto"/>
                    </w:rPr>
                    <w:t>噪声</w:t>
                  </w:r>
                </w:p>
              </w:tc>
              <w:tc>
                <w:tcPr>
                  <w:tcW w:w="2529" w:type="dxa"/>
                  <w:gridSpan w:val="2"/>
                  <w:vAlign w:val="center"/>
                </w:tcPr>
                <w:p>
                  <w:pPr>
                    <w:pStyle w:val="57"/>
                    <w:rPr>
                      <w:snapToGrid w:val="0"/>
                      <w:color w:val="auto"/>
                    </w:rPr>
                  </w:pPr>
                  <w:r>
                    <w:rPr>
                      <w:snapToGrid w:val="0"/>
                      <w:color w:val="auto"/>
                    </w:rPr>
                    <w:t>设备噪声</w:t>
                  </w:r>
                </w:p>
              </w:tc>
              <w:tc>
                <w:tcPr>
                  <w:tcW w:w="1169" w:type="dxa"/>
                  <w:vAlign w:val="center"/>
                </w:tcPr>
                <w:p>
                  <w:pPr>
                    <w:pStyle w:val="57"/>
                    <w:rPr>
                      <w:snapToGrid w:val="0"/>
                      <w:color w:val="auto"/>
                    </w:rPr>
                  </w:pPr>
                  <w:r>
                    <w:rPr>
                      <w:snapToGrid w:val="0"/>
                      <w:color w:val="auto"/>
                    </w:rPr>
                    <w:t>隔声、</w:t>
                  </w:r>
                  <w:r>
                    <w:rPr>
                      <w:color w:val="auto"/>
                    </w:rPr>
                    <w:t>安装减震垫</w:t>
                  </w:r>
                </w:p>
              </w:tc>
              <w:tc>
                <w:tcPr>
                  <w:tcW w:w="1685" w:type="dxa"/>
                  <w:vAlign w:val="center"/>
                </w:tcPr>
                <w:p>
                  <w:pPr>
                    <w:pStyle w:val="57"/>
                    <w:rPr>
                      <w:color w:val="auto"/>
                    </w:rPr>
                  </w:pPr>
                  <w:r>
                    <w:rPr>
                      <w:color w:val="auto"/>
                    </w:rPr>
                    <w:t>昼间≤60dB（A）</w:t>
                  </w:r>
                </w:p>
                <w:p>
                  <w:pPr>
                    <w:pStyle w:val="57"/>
                    <w:rPr>
                      <w:snapToGrid w:val="0"/>
                      <w:color w:val="auto"/>
                    </w:rPr>
                  </w:pPr>
                  <w:r>
                    <w:rPr>
                      <w:color w:val="auto"/>
                    </w:rPr>
                    <w:t>夜间≤50dB（A）</w:t>
                  </w:r>
                </w:p>
              </w:tc>
              <w:tc>
                <w:tcPr>
                  <w:tcW w:w="1559" w:type="dxa"/>
                  <w:vAlign w:val="center"/>
                </w:tcPr>
                <w:p>
                  <w:pPr>
                    <w:pStyle w:val="57"/>
                    <w:rPr>
                      <w:color w:val="auto"/>
                    </w:rPr>
                  </w:pPr>
                  <w:r>
                    <w:rPr>
                      <w:color w:val="auto"/>
                    </w:rPr>
                    <w:t>/</w:t>
                  </w:r>
                </w:p>
              </w:tc>
              <w:tc>
                <w:tcPr>
                  <w:tcW w:w="2835" w:type="dxa"/>
                  <w:vAlign w:val="center"/>
                </w:tcPr>
                <w:p>
                  <w:pPr>
                    <w:pStyle w:val="57"/>
                    <w:rPr>
                      <w:snapToGrid w:val="0"/>
                      <w:color w:val="auto"/>
                    </w:rPr>
                  </w:pPr>
                  <w:r>
                    <w:rPr>
                      <w:color w:val="auto"/>
                    </w:rPr>
                    <w:t>《工业企业厂界环境噪声排放标准》（GB12348-2008）中2类</w:t>
                  </w:r>
                  <w:r>
                    <w:rPr>
                      <w:rFonts w:hint="eastAsia"/>
                      <w:color w:val="auto"/>
                    </w:rPr>
                    <w:t>标准</w:t>
                  </w:r>
                </w:p>
              </w:tc>
              <w:tc>
                <w:tcPr>
                  <w:tcW w:w="1015" w:type="dxa"/>
                  <w:vAlign w:val="center"/>
                </w:tcPr>
                <w:p>
                  <w:pPr>
                    <w:pStyle w:val="57"/>
                    <w:rPr>
                      <w:snapToGrid w:val="0"/>
                      <w:color w:val="auto"/>
                    </w:rPr>
                  </w:pPr>
                  <w:r>
                    <w:rPr>
                      <w:snapToGrid w:val="0"/>
                      <w:color w:val="auto"/>
                    </w:rPr>
                    <w:t>厂界外1m</w:t>
                  </w:r>
                </w:p>
              </w:tc>
              <w:tc>
                <w:tcPr>
                  <w:tcW w:w="731" w:type="dxa"/>
                  <w:vAlign w:val="center"/>
                </w:tcPr>
                <w:p>
                  <w:pPr>
                    <w:pStyle w:val="57"/>
                    <w:rPr>
                      <w:snapToGrid w:val="0"/>
                      <w:color w:val="auto"/>
                    </w:rPr>
                  </w:pPr>
                  <w:r>
                    <w:rPr>
                      <w:snapToGrid w:val="0"/>
                      <w:color w:val="auto"/>
                    </w:rPr>
                    <w:t>/</w:t>
                  </w:r>
                </w:p>
              </w:tc>
              <w:tc>
                <w:tcPr>
                  <w:tcW w:w="1203" w:type="dxa"/>
                  <w:vAlign w:val="center"/>
                </w:tcPr>
                <w:p>
                  <w:pPr>
                    <w:pStyle w:val="57"/>
                    <w:rPr>
                      <w:snapToGrid w:val="0"/>
                      <w:color w:val="auto"/>
                    </w:rPr>
                  </w:pPr>
                  <w:r>
                    <w:rPr>
                      <w:snapToGrid w:val="0"/>
                      <w:color w:val="auto"/>
                    </w:rPr>
                    <w:t>/</w:t>
                  </w:r>
                </w:p>
              </w:tc>
            </w:tr>
          </w:tbl>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tc>
      </w:tr>
    </w:tbl>
    <w:p>
      <w:pPr>
        <w:pStyle w:val="36"/>
        <w:topLinePunct/>
        <w:rPr>
          <w:color w:val="auto"/>
        </w:rPr>
        <w:sectPr>
          <w:pgSz w:w="16838" w:h="11906" w:orient="landscape"/>
          <w:pgMar w:top="1531" w:right="1417" w:bottom="1531" w:left="1417" w:header="851" w:footer="992" w:gutter="0"/>
          <w:pgBorders>
            <w:top w:val="none" w:sz="0" w:space="0"/>
            <w:left w:val="none" w:sz="0" w:space="0"/>
            <w:bottom w:val="none" w:sz="0" w:space="0"/>
            <w:right w:val="none" w:sz="0" w:space="0"/>
          </w:pgBorders>
          <w:cols w:space="720" w:num="1"/>
          <w:docGrid w:linePitch="312" w:charSpace="0"/>
        </w:sectPr>
      </w:pPr>
    </w:p>
    <w:p>
      <w:pPr>
        <w:pStyle w:val="36"/>
        <w:topLinePunct/>
        <w:rPr>
          <w:color w:val="auto"/>
        </w:rPr>
      </w:pPr>
      <w:r>
        <w:rPr>
          <w:color w:val="auto"/>
        </w:rPr>
        <w:t>建设工程拟采取的防治措施及预期治理效果</w:t>
      </w:r>
    </w:p>
    <w:tbl>
      <w:tblPr>
        <w:tblStyle w:val="39"/>
        <w:tblW w:w="87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1"/>
        <w:gridCol w:w="995"/>
        <w:gridCol w:w="1138"/>
        <w:gridCol w:w="1849"/>
        <w:gridCol w:w="1849"/>
        <w:gridCol w:w="21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tcBorders>
              <w:top w:val="single" w:color="auto" w:sz="12" w:space="0"/>
              <w:left w:val="single" w:color="auto" w:sz="12" w:space="0"/>
              <w:bottom w:val="single" w:color="auto" w:sz="4" w:space="0"/>
              <w:right w:val="single" w:color="auto" w:sz="4" w:space="0"/>
              <w:tl2br w:val="single" w:color="auto" w:sz="4" w:space="0"/>
            </w:tcBorders>
          </w:tcPr>
          <w:p>
            <w:pPr>
              <w:pStyle w:val="57"/>
              <w:rPr>
                <w:color w:val="auto"/>
                <w:sz w:val="24"/>
                <w:szCs w:val="24"/>
              </w:rPr>
            </w:pPr>
            <w:r>
              <w:rPr>
                <w:rFonts w:hint="eastAsia"/>
                <w:color w:val="auto"/>
                <w:sz w:val="24"/>
                <w:szCs w:val="24"/>
              </w:rPr>
              <w:t xml:space="preserve"> </w:t>
            </w:r>
            <w:r>
              <w:rPr>
                <w:color w:val="auto"/>
                <w:sz w:val="24"/>
                <w:szCs w:val="24"/>
              </w:rPr>
              <w:t>内容</w:t>
            </w:r>
          </w:p>
          <w:p>
            <w:pPr>
              <w:pStyle w:val="57"/>
              <w:rPr>
                <w:color w:val="auto"/>
                <w:sz w:val="24"/>
                <w:szCs w:val="24"/>
              </w:rPr>
            </w:pPr>
            <w:r>
              <w:rPr>
                <w:color w:val="auto"/>
                <w:sz w:val="24"/>
                <w:szCs w:val="24"/>
              </w:rPr>
              <w:t>类型</w:t>
            </w:r>
          </w:p>
        </w:tc>
        <w:tc>
          <w:tcPr>
            <w:tcW w:w="2133" w:type="dxa"/>
            <w:gridSpan w:val="2"/>
            <w:tcBorders>
              <w:top w:val="single" w:color="auto" w:sz="12"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排放源</w:t>
            </w:r>
          </w:p>
        </w:tc>
        <w:tc>
          <w:tcPr>
            <w:tcW w:w="1849" w:type="dxa"/>
            <w:tcBorders>
              <w:top w:val="single" w:color="auto" w:sz="12"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污染物名称</w:t>
            </w:r>
          </w:p>
        </w:tc>
        <w:tc>
          <w:tcPr>
            <w:tcW w:w="1849" w:type="dxa"/>
            <w:tcBorders>
              <w:top w:val="single" w:color="auto" w:sz="12"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防治措施</w:t>
            </w:r>
          </w:p>
        </w:tc>
        <w:tc>
          <w:tcPr>
            <w:tcW w:w="2114" w:type="dxa"/>
            <w:tcBorders>
              <w:top w:val="single" w:color="auto" w:sz="12" w:space="0"/>
              <w:left w:val="single" w:color="auto" w:sz="4" w:space="0"/>
              <w:bottom w:val="single" w:color="auto" w:sz="4" w:space="0"/>
              <w:right w:val="single" w:color="auto" w:sz="12" w:space="0"/>
            </w:tcBorders>
            <w:vAlign w:val="center"/>
          </w:tcPr>
          <w:p>
            <w:pPr>
              <w:pStyle w:val="57"/>
              <w:rPr>
                <w:color w:val="auto"/>
                <w:sz w:val="24"/>
                <w:szCs w:val="24"/>
              </w:rPr>
            </w:pPr>
            <w:r>
              <w:rPr>
                <w:color w:val="auto"/>
                <w:sz w:val="24"/>
                <w:szCs w:val="24"/>
              </w:rPr>
              <w:t>预期治理效果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restart"/>
            <w:tcBorders>
              <w:left w:val="single" w:color="auto" w:sz="12" w:space="0"/>
              <w:right w:val="single" w:color="auto" w:sz="4" w:space="0"/>
            </w:tcBorders>
            <w:vAlign w:val="center"/>
          </w:tcPr>
          <w:p>
            <w:pPr>
              <w:pStyle w:val="57"/>
              <w:rPr>
                <w:color w:val="auto"/>
                <w:sz w:val="24"/>
                <w:szCs w:val="24"/>
              </w:rPr>
            </w:pPr>
            <w:r>
              <w:rPr>
                <w:rFonts w:hint="eastAsia"/>
                <w:color w:val="auto"/>
                <w:sz w:val="24"/>
                <w:szCs w:val="24"/>
              </w:rPr>
              <w:t>大气污染物</w:t>
            </w:r>
          </w:p>
        </w:tc>
        <w:tc>
          <w:tcPr>
            <w:tcW w:w="995"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113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施工场地</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扬尘</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定期洒水抑尘、</w:t>
            </w:r>
            <w:r>
              <w:rPr>
                <w:color w:val="auto"/>
                <w:sz w:val="24"/>
                <w:szCs w:val="24"/>
              </w:rPr>
              <w:t>清扫路面</w:t>
            </w:r>
            <w:r>
              <w:rPr>
                <w:rFonts w:hint="eastAsia"/>
                <w:color w:val="auto"/>
                <w:sz w:val="24"/>
                <w:szCs w:val="24"/>
              </w:rPr>
              <w:t>、</w:t>
            </w:r>
            <w:r>
              <w:rPr>
                <w:color w:val="auto"/>
                <w:sz w:val="24"/>
                <w:szCs w:val="24"/>
              </w:rPr>
              <w:t>覆盖</w:t>
            </w:r>
            <w:r>
              <w:rPr>
                <w:rFonts w:hint="eastAsia"/>
                <w:color w:val="auto"/>
                <w:sz w:val="24"/>
                <w:szCs w:val="24"/>
              </w:rPr>
              <w:t>措施和防尘网等</w:t>
            </w:r>
          </w:p>
        </w:tc>
        <w:tc>
          <w:tcPr>
            <w:tcW w:w="2114" w:type="dxa"/>
            <w:vMerge w:val="restart"/>
            <w:tcBorders>
              <w:top w:val="single" w:color="auto" w:sz="4" w:space="0"/>
              <w:left w:val="single" w:color="auto" w:sz="4" w:space="0"/>
              <w:right w:val="single" w:color="auto" w:sz="12" w:space="0"/>
            </w:tcBorders>
            <w:vAlign w:val="center"/>
          </w:tcPr>
          <w:p>
            <w:pPr>
              <w:pStyle w:val="57"/>
              <w:rPr>
                <w:color w:val="auto"/>
                <w:sz w:val="24"/>
                <w:szCs w:val="24"/>
              </w:rPr>
            </w:pPr>
            <w:r>
              <w:rPr>
                <w:color w:val="auto"/>
                <w:sz w:val="24"/>
                <w:szCs w:val="24"/>
              </w:rPr>
              <w:t>对</w:t>
            </w:r>
            <w:r>
              <w:rPr>
                <w:rFonts w:hint="eastAsia"/>
                <w:color w:val="auto"/>
                <w:sz w:val="24"/>
                <w:szCs w:val="24"/>
              </w:rPr>
              <w:t>周围大气</w:t>
            </w:r>
            <w:r>
              <w:rPr>
                <w:color w:val="auto"/>
                <w:sz w:val="24"/>
                <w:szCs w:val="24"/>
              </w:rPr>
              <w:t>环境影响不大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vMerge w:val="continue"/>
            <w:tcBorders>
              <w:left w:val="single" w:color="auto" w:sz="4" w:space="0"/>
              <w:right w:val="single" w:color="auto" w:sz="4" w:space="0"/>
            </w:tcBorders>
            <w:vAlign w:val="center"/>
          </w:tcPr>
          <w:p>
            <w:pPr>
              <w:pStyle w:val="57"/>
              <w:rPr>
                <w:color w:val="auto"/>
                <w:sz w:val="24"/>
                <w:szCs w:val="24"/>
              </w:rPr>
            </w:pPr>
          </w:p>
        </w:tc>
        <w:tc>
          <w:tcPr>
            <w:tcW w:w="113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机械废气</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CO、NOx、SO</w:t>
            </w:r>
            <w:r>
              <w:rPr>
                <w:rFonts w:hint="eastAsia"/>
                <w:color w:val="auto"/>
                <w:sz w:val="24"/>
                <w:szCs w:val="24"/>
                <w:vertAlign w:val="subscript"/>
              </w:rPr>
              <w:t>2</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自然扩散</w:t>
            </w:r>
          </w:p>
        </w:tc>
        <w:tc>
          <w:tcPr>
            <w:tcW w:w="2114" w:type="dxa"/>
            <w:vMerge w:val="continue"/>
            <w:tcBorders>
              <w:left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1138" w:type="dxa"/>
            <w:tcBorders>
              <w:top w:val="single" w:color="auto" w:sz="4" w:space="0"/>
              <w:left w:val="single" w:color="auto" w:sz="4" w:space="0"/>
              <w:right w:val="single" w:color="auto" w:sz="4" w:space="0"/>
            </w:tcBorders>
            <w:vAlign w:val="center"/>
          </w:tcPr>
          <w:p>
            <w:pPr>
              <w:tabs>
                <w:tab w:val="left" w:pos="293"/>
              </w:tabs>
              <w:spacing w:line="240" w:lineRule="auto"/>
              <w:ind w:left="0" w:leftChars="0" w:right="0" w:rightChars="0" w:firstLine="0" w:firstLineChars="0"/>
              <w:jc w:val="center"/>
              <w:rPr>
                <w:color w:val="auto"/>
                <w:sz w:val="24"/>
                <w:szCs w:val="24"/>
              </w:rPr>
            </w:pPr>
            <w:r>
              <w:rPr>
                <w:rFonts w:hint="default" w:ascii="Times New Roman" w:hAnsi="Times New Roman" w:cs="Times New Roman"/>
                <w:color w:val="auto"/>
                <w:sz w:val="24"/>
                <w:szCs w:val="24"/>
              </w:rPr>
              <w:t>员工食堂</w:t>
            </w:r>
          </w:p>
        </w:tc>
        <w:tc>
          <w:tcPr>
            <w:tcW w:w="1849" w:type="dxa"/>
            <w:tcBorders>
              <w:top w:val="single" w:color="auto" w:sz="4" w:space="0"/>
              <w:left w:val="single" w:color="auto" w:sz="4" w:space="0"/>
              <w:right w:val="single" w:color="auto" w:sz="4" w:space="0"/>
            </w:tcBorders>
            <w:vAlign w:val="center"/>
          </w:tcPr>
          <w:p>
            <w:pPr>
              <w:spacing w:line="240" w:lineRule="auto"/>
              <w:ind w:left="0" w:leftChars="0" w:right="0" w:rightChars="0" w:firstLine="0" w:firstLineChars="0"/>
              <w:jc w:val="center"/>
              <w:rPr>
                <w:color w:val="auto"/>
                <w:sz w:val="24"/>
                <w:szCs w:val="24"/>
              </w:rPr>
            </w:pPr>
            <w:r>
              <w:rPr>
                <w:rFonts w:hint="default" w:ascii="Times New Roman" w:hAnsi="Times New Roman" w:cs="Times New Roman"/>
                <w:color w:val="auto"/>
                <w:sz w:val="24"/>
                <w:szCs w:val="24"/>
              </w:rPr>
              <w:t>油烟</w:t>
            </w:r>
          </w:p>
        </w:tc>
        <w:tc>
          <w:tcPr>
            <w:tcW w:w="1849" w:type="dxa"/>
            <w:tcBorders>
              <w:top w:val="single" w:color="auto" w:sz="4" w:space="0"/>
              <w:left w:val="single" w:color="auto" w:sz="4" w:space="0"/>
              <w:right w:val="single" w:color="auto" w:sz="4" w:space="0"/>
            </w:tcBorders>
            <w:vAlign w:val="center"/>
          </w:tcPr>
          <w:p>
            <w:pPr>
              <w:adjustRightInd/>
              <w:snapToGrid/>
              <w:spacing w:line="240" w:lineRule="auto"/>
              <w:ind w:firstLine="0" w:firstLineChars="0"/>
              <w:jc w:val="left"/>
              <w:rPr>
                <w:color w:val="auto"/>
                <w:sz w:val="24"/>
                <w:szCs w:val="24"/>
              </w:rPr>
            </w:pPr>
            <w:r>
              <w:rPr>
                <w:rFonts w:hint="default" w:ascii="Times New Roman" w:hAnsi="Times New Roman" w:cs="Times New Roman"/>
                <w:color w:val="auto"/>
                <w:sz w:val="24"/>
                <w:szCs w:val="24"/>
              </w:rPr>
              <w:t>通过吸排油烟机处理后引至楼顶排放</w:t>
            </w:r>
          </w:p>
        </w:tc>
        <w:tc>
          <w:tcPr>
            <w:tcW w:w="2114" w:type="dxa"/>
            <w:tcBorders>
              <w:top w:val="single" w:color="auto" w:sz="4" w:space="0"/>
              <w:left w:val="single" w:color="auto" w:sz="4" w:space="0"/>
              <w:right w:val="single" w:color="auto" w:sz="12" w:space="0"/>
            </w:tcBorders>
            <w:vAlign w:val="center"/>
          </w:tcPr>
          <w:p>
            <w:pPr>
              <w:adjustRightInd/>
              <w:snapToGrid/>
              <w:spacing w:line="240" w:lineRule="auto"/>
              <w:ind w:firstLine="0" w:firstLineChars="0"/>
              <w:jc w:val="center"/>
              <w:rPr>
                <w:color w:val="auto"/>
                <w:sz w:val="24"/>
                <w:szCs w:val="24"/>
              </w:rPr>
            </w:pPr>
            <w:r>
              <w:rPr>
                <w:rFonts w:hint="default" w:ascii="Times New Roman" w:hAnsi="Times New Roman" w:cs="Times New Roman"/>
                <w:color w:val="auto"/>
                <w:sz w:val="24"/>
                <w:szCs w:val="24"/>
              </w:rPr>
              <w:t>符合环保要求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restart"/>
            <w:tcBorders>
              <w:left w:val="single" w:color="auto" w:sz="12" w:space="0"/>
              <w:right w:val="single" w:color="auto" w:sz="4" w:space="0"/>
            </w:tcBorders>
            <w:vAlign w:val="center"/>
          </w:tcPr>
          <w:p>
            <w:pPr>
              <w:pStyle w:val="57"/>
              <w:rPr>
                <w:color w:val="auto"/>
                <w:sz w:val="24"/>
                <w:szCs w:val="24"/>
              </w:rPr>
            </w:pPr>
            <w:r>
              <w:rPr>
                <w:color w:val="auto"/>
                <w:sz w:val="24"/>
                <w:szCs w:val="24"/>
              </w:rPr>
              <w:t>水污</w:t>
            </w:r>
          </w:p>
          <w:p>
            <w:pPr>
              <w:pStyle w:val="57"/>
              <w:rPr>
                <w:color w:val="auto"/>
                <w:sz w:val="24"/>
                <w:szCs w:val="24"/>
              </w:rPr>
            </w:pPr>
            <w:r>
              <w:rPr>
                <w:color w:val="auto"/>
                <w:sz w:val="24"/>
                <w:szCs w:val="24"/>
              </w:rPr>
              <w:t>染物</w:t>
            </w:r>
          </w:p>
        </w:tc>
        <w:tc>
          <w:tcPr>
            <w:tcW w:w="995" w:type="dxa"/>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113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施工废水</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SS、石油类</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沉淀后回用，不外排</w:t>
            </w:r>
          </w:p>
        </w:tc>
        <w:tc>
          <w:tcPr>
            <w:tcW w:w="2114" w:type="dxa"/>
            <w:tcBorders>
              <w:top w:val="single" w:color="auto" w:sz="4" w:space="0"/>
              <w:left w:val="single" w:color="auto" w:sz="4" w:space="0"/>
              <w:right w:val="single" w:color="auto" w:sz="12" w:space="0"/>
            </w:tcBorders>
            <w:vAlign w:val="center"/>
          </w:tcPr>
          <w:p>
            <w:pPr>
              <w:pStyle w:val="57"/>
              <w:rPr>
                <w:color w:val="auto"/>
                <w:sz w:val="24"/>
                <w:szCs w:val="24"/>
              </w:rPr>
            </w:pPr>
            <w:r>
              <w:rPr>
                <w:rFonts w:hint="eastAsia"/>
                <w:color w:val="auto"/>
                <w:sz w:val="24"/>
                <w:szCs w:val="24"/>
              </w:rPr>
              <w:t>对周围水环境</w:t>
            </w:r>
            <w:r>
              <w:rPr>
                <w:color w:val="auto"/>
                <w:sz w:val="24"/>
                <w:szCs w:val="24"/>
              </w:rPr>
              <w:t>影响不大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1138" w:type="dxa"/>
            <w:tcBorders>
              <w:top w:val="single" w:color="auto" w:sz="4" w:space="0"/>
              <w:left w:val="single" w:color="auto" w:sz="4" w:space="0"/>
              <w:right w:val="single" w:color="auto" w:sz="4" w:space="0"/>
            </w:tcBorders>
            <w:vAlign w:val="center"/>
          </w:tcPr>
          <w:p>
            <w:pPr>
              <w:pStyle w:val="57"/>
              <w:rPr>
                <w:color w:val="auto"/>
                <w:sz w:val="24"/>
                <w:szCs w:val="24"/>
              </w:rPr>
            </w:pPr>
            <w:r>
              <w:rPr>
                <w:rFonts w:hint="eastAsia"/>
                <w:color w:val="auto"/>
                <w:sz w:val="24"/>
                <w:szCs w:val="24"/>
              </w:rPr>
              <w:t>生活污水</w:t>
            </w:r>
          </w:p>
        </w:tc>
        <w:tc>
          <w:tcPr>
            <w:tcW w:w="1849" w:type="dxa"/>
            <w:tcBorders>
              <w:top w:val="single" w:color="auto" w:sz="4" w:space="0"/>
              <w:left w:val="single" w:color="auto" w:sz="4" w:space="0"/>
              <w:right w:val="single" w:color="auto" w:sz="4" w:space="0"/>
            </w:tcBorders>
            <w:vAlign w:val="center"/>
          </w:tcPr>
          <w:p>
            <w:pPr>
              <w:pStyle w:val="57"/>
              <w:rPr>
                <w:rFonts w:hint="eastAsia" w:eastAsia="宋体"/>
                <w:color w:val="auto"/>
                <w:sz w:val="24"/>
                <w:szCs w:val="24"/>
                <w:lang w:eastAsia="zh-CN"/>
              </w:rPr>
            </w:pPr>
            <w:r>
              <w:rPr>
                <w:rFonts w:hint="eastAsia"/>
                <w:color w:val="auto"/>
                <w:sz w:val="24"/>
                <w:szCs w:val="24"/>
              </w:rPr>
              <w:t>CODcr、BOD</w:t>
            </w:r>
            <w:r>
              <w:rPr>
                <w:rFonts w:hint="eastAsia"/>
                <w:color w:val="auto"/>
                <w:sz w:val="24"/>
                <w:szCs w:val="24"/>
                <w:vertAlign w:val="subscript"/>
              </w:rPr>
              <w:t>5</w:t>
            </w:r>
            <w:r>
              <w:rPr>
                <w:rFonts w:hint="eastAsia"/>
                <w:color w:val="auto"/>
                <w:sz w:val="24"/>
                <w:szCs w:val="24"/>
              </w:rPr>
              <w:t>、SS、氨氮</w:t>
            </w:r>
            <w:r>
              <w:rPr>
                <w:rFonts w:hint="eastAsia"/>
                <w:color w:val="auto"/>
                <w:sz w:val="24"/>
                <w:szCs w:val="24"/>
                <w:lang w:eastAsia="zh-CN"/>
              </w:rPr>
              <w:t>、动植物油</w:t>
            </w:r>
          </w:p>
        </w:tc>
        <w:tc>
          <w:tcPr>
            <w:tcW w:w="1849" w:type="dxa"/>
            <w:tcBorders>
              <w:top w:val="single" w:color="auto" w:sz="4" w:space="0"/>
              <w:left w:val="single" w:color="auto" w:sz="4" w:space="0"/>
              <w:right w:val="single" w:color="auto" w:sz="4" w:space="0"/>
            </w:tcBorders>
            <w:vAlign w:val="center"/>
          </w:tcPr>
          <w:p>
            <w:pPr>
              <w:pStyle w:val="57"/>
              <w:rPr>
                <w:color w:val="auto"/>
                <w:sz w:val="24"/>
                <w:szCs w:val="24"/>
              </w:rPr>
            </w:pPr>
            <w:r>
              <w:rPr>
                <w:color w:val="auto"/>
                <w:sz w:val="24"/>
                <w:szCs w:val="24"/>
              </w:rPr>
              <w:t>经</w:t>
            </w:r>
            <w:r>
              <w:rPr>
                <w:rFonts w:hint="eastAsia"/>
                <w:color w:val="auto"/>
                <w:sz w:val="24"/>
                <w:szCs w:val="24"/>
                <w:lang w:eastAsia="zh-CN"/>
              </w:rPr>
              <w:t>“隔油隔渣池</w:t>
            </w:r>
            <w:r>
              <w:rPr>
                <w:rFonts w:hint="eastAsia"/>
                <w:color w:val="auto"/>
                <w:sz w:val="24"/>
                <w:szCs w:val="24"/>
                <w:lang w:val="en-US" w:eastAsia="zh-CN"/>
              </w:rPr>
              <w:t>+</w:t>
            </w:r>
            <w:r>
              <w:rPr>
                <w:color w:val="auto"/>
                <w:sz w:val="24"/>
                <w:szCs w:val="24"/>
              </w:rPr>
              <w:t>三级化粪池</w:t>
            </w:r>
            <w:r>
              <w:rPr>
                <w:rFonts w:hint="eastAsia"/>
                <w:color w:val="auto"/>
                <w:sz w:val="24"/>
                <w:szCs w:val="24"/>
                <w:lang w:eastAsia="zh-CN"/>
              </w:rPr>
              <w:t>”</w:t>
            </w:r>
            <w:r>
              <w:rPr>
                <w:color w:val="auto"/>
                <w:sz w:val="24"/>
                <w:szCs w:val="24"/>
              </w:rPr>
              <w:t>处理后回用</w:t>
            </w:r>
            <w:r>
              <w:rPr>
                <w:rFonts w:hint="eastAsia"/>
                <w:color w:val="auto"/>
                <w:sz w:val="24"/>
                <w:szCs w:val="24"/>
              </w:rPr>
              <w:t>周边林地灌溉</w:t>
            </w:r>
            <w:r>
              <w:rPr>
                <w:color w:val="auto"/>
                <w:sz w:val="24"/>
                <w:szCs w:val="24"/>
              </w:rPr>
              <w:t>，不外排</w:t>
            </w:r>
          </w:p>
        </w:tc>
        <w:tc>
          <w:tcPr>
            <w:tcW w:w="2114" w:type="dxa"/>
            <w:tcBorders>
              <w:top w:val="single" w:color="auto" w:sz="4" w:space="0"/>
              <w:left w:val="single" w:color="auto" w:sz="4" w:space="0"/>
              <w:right w:val="single" w:color="auto" w:sz="12" w:space="0"/>
            </w:tcBorders>
            <w:vAlign w:val="center"/>
          </w:tcPr>
          <w:p>
            <w:pPr>
              <w:pStyle w:val="57"/>
              <w:rPr>
                <w:color w:val="auto"/>
                <w:sz w:val="24"/>
                <w:szCs w:val="24"/>
              </w:rPr>
            </w:pPr>
            <w:r>
              <w:rPr>
                <w:color w:val="auto"/>
                <w:sz w:val="24"/>
                <w:szCs w:val="24"/>
              </w:rPr>
              <w:t>达到《农田灌溉水质标准》（GB5084-2005）旱作标准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restart"/>
            <w:tcBorders>
              <w:left w:val="single" w:color="auto" w:sz="12" w:space="0"/>
              <w:right w:val="single" w:color="auto" w:sz="4" w:space="0"/>
            </w:tcBorders>
            <w:vAlign w:val="center"/>
          </w:tcPr>
          <w:p>
            <w:pPr>
              <w:pStyle w:val="57"/>
              <w:rPr>
                <w:color w:val="auto"/>
                <w:sz w:val="24"/>
                <w:szCs w:val="24"/>
              </w:rPr>
            </w:pPr>
            <w:r>
              <w:rPr>
                <w:color w:val="auto"/>
                <w:sz w:val="24"/>
                <w:szCs w:val="24"/>
              </w:rPr>
              <w:t>固体</w:t>
            </w:r>
          </w:p>
          <w:p>
            <w:pPr>
              <w:pStyle w:val="57"/>
              <w:rPr>
                <w:color w:val="auto"/>
                <w:sz w:val="24"/>
                <w:szCs w:val="24"/>
              </w:rPr>
            </w:pPr>
            <w:r>
              <w:rPr>
                <w:color w:val="auto"/>
                <w:sz w:val="24"/>
                <w:szCs w:val="24"/>
              </w:rPr>
              <w:t>废物</w:t>
            </w:r>
          </w:p>
        </w:tc>
        <w:tc>
          <w:tcPr>
            <w:tcW w:w="995"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298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工程弃土</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运至城市市容卫生管理部门指定地点进行堆存</w:t>
            </w:r>
          </w:p>
        </w:tc>
        <w:tc>
          <w:tcPr>
            <w:tcW w:w="2114" w:type="dxa"/>
            <w:vMerge w:val="restart"/>
            <w:tcBorders>
              <w:top w:val="single" w:color="auto" w:sz="4" w:space="0"/>
              <w:left w:val="single" w:color="auto" w:sz="4" w:space="0"/>
              <w:right w:val="single" w:color="auto" w:sz="12" w:space="0"/>
            </w:tcBorders>
            <w:vAlign w:val="center"/>
          </w:tcPr>
          <w:p>
            <w:pPr>
              <w:pStyle w:val="57"/>
              <w:rPr>
                <w:color w:val="auto"/>
                <w:sz w:val="24"/>
                <w:szCs w:val="24"/>
              </w:rPr>
            </w:pPr>
            <w:r>
              <w:rPr>
                <w:color w:val="auto"/>
                <w:sz w:val="24"/>
                <w:szCs w:val="24"/>
              </w:rPr>
              <w:t>对外环境影响不大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vMerge w:val="continue"/>
            <w:tcBorders>
              <w:left w:val="single" w:color="auto" w:sz="4" w:space="0"/>
              <w:right w:val="single" w:color="auto" w:sz="4" w:space="0"/>
            </w:tcBorders>
            <w:vAlign w:val="center"/>
          </w:tcPr>
          <w:p>
            <w:pPr>
              <w:pStyle w:val="57"/>
              <w:rPr>
                <w:color w:val="auto"/>
                <w:sz w:val="24"/>
                <w:szCs w:val="24"/>
              </w:rPr>
            </w:pPr>
          </w:p>
        </w:tc>
        <w:tc>
          <w:tcPr>
            <w:tcW w:w="298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生活垃圾</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由环卫部门统一清运填埋</w:t>
            </w:r>
          </w:p>
        </w:tc>
        <w:tc>
          <w:tcPr>
            <w:tcW w:w="2114" w:type="dxa"/>
            <w:vMerge w:val="continue"/>
            <w:tcBorders>
              <w:left w:val="single" w:color="auto" w:sz="4" w:space="0"/>
              <w:bottom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vMerge w:val="restart"/>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2987" w:type="dxa"/>
            <w:gridSpan w:val="2"/>
            <w:tcBorders>
              <w:left w:val="single" w:color="auto" w:sz="4" w:space="0"/>
              <w:right w:val="single" w:color="auto" w:sz="4" w:space="0"/>
            </w:tcBorders>
            <w:vAlign w:val="center"/>
          </w:tcPr>
          <w:p>
            <w:pPr>
              <w:pStyle w:val="57"/>
              <w:rPr>
                <w:color w:val="auto"/>
                <w:sz w:val="24"/>
                <w:szCs w:val="24"/>
              </w:rPr>
            </w:pPr>
            <w:r>
              <w:rPr>
                <w:color w:val="auto"/>
                <w:sz w:val="24"/>
                <w:szCs w:val="24"/>
              </w:rPr>
              <w:t>生活垃圾</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color w:val="auto"/>
                <w:sz w:val="24"/>
                <w:szCs w:val="24"/>
              </w:rPr>
              <w:t>由环卫部门统一清运填埋</w:t>
            </w:r>
          </w:p>
        </w:tc>
        <w:tc>
          <w:tcPr>
            <w:tcW w:w="2114" w:type="dxa"/>
            <w:vMerge w:val="restart"/>
            <w:tcBorders>
              <w:top w:val="single" w:color="auto" w:sz="4" w:space="0"/>
              <w:left w:val="single" w:color="auto" w:sz="4" w:space="0"/>
              <w:right w:val="single" w:color="auto" w:sz="12" w:space="0"/>
            </w:tcBorders>
            <w:vAlign w:val="center"/>
          </w:tcPr>
          <w:p>
            <w:pPr>
              <w:pStyle w:val="57"/>
              <w:rPr>
                <w:color w:val="auto"/>
                <w:sz w:val="24"/>
                <w:szCs w:val="24"/>
              </w:rPr>
            </w:pPr>
            <w:r>
              <w:rPr>
                <w:color w:val="auto"/>
                <w:sz w:val="24"/>
                <w:szCs w:val="24"/>
              </w:rPr>
              <w:t>符合环保要求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vMerge w:val="continue"/>
            <w:tcBorders>
              <w:left w:val="single" w:color="auto" w:sz="4" w:space="0"/>
              <w:right w:val="single" w:color="auto" w:sz="4" w:space="0"/>
            </w:tcBorders>
            <w:vAlign w:val="center"/>
          </w:tcPr>
          <w:p>
            <w:pPr>
              <w:pStyle w:val="57"/>
              <w:rPr>
                <w:color w:val="auto"/>
                <w:sz w:val="24"/>
                <w:szCs w:val="24"/>
              </w:rPr>
            </w:pPr>
          </w:p>
        </w:tc>
        <w:tc>
          <w:tcPr>
            <w:tcW w:w="298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废包装材料</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资源回收单位进行回收处理</w:t>
            </w:r>
          </w:p>
        </w:tc>
        <w:tc>
          <w:tcPr>
            <w:tcW w:w="2114" w:type="dxa"/>
            <w:vMerge w:val="continue"/>
            <w:tcBorders>
              <w:left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left w:val="single" w:color="auto" w:sz="12" w:space="0"/>
              <w:right w:val="single" w:color="auto" w:sz="4" w:space="0"/>
            </w:tcBorders>
            <w:vAlign w:val="center"/>
          </w:tcPr>
          <w:p>
            <w:pPr>
              <w:pStyle w:val="57"/>
              <w:rPr>
                <w:color w:val="auto"/>
                <w:sz w:val="24"/>
                <w:szCs w:val="24"/>
              </w:rPr>
            </w:pPr>
          </w:p>
        </w:tc>
        <w:tc>
          <w:tcPr>
            <w:tcW w:w="995" w:type="dxa"/>
            <w:vMerge w:val="continue"/>
            <w:tcBorders>
              <w:left w:val="single" w:color="auto" w:sz="4" w:space="0"/>
              <w:right w:val="single" w:color="auto" w:sz="4" w:space="0"/>
            </w:tcBorders>
            <w:vAlign w:val="center"/>
          </w:tcPr>
          <w:p>
            <w:pPr>
              <w:pStyle w:val="57"/>
              <w:rPr>
                <w:color w:val="auto"/>
                <w:sz w:val="24"/>
                <w:szCs w:val="24"/>
              </w:rPr>
            </w:pPr>
          </w:p>
        </w:tc>
        <w:tc>
          <w:tcPr>
            <w:tcW w:w="2987" w:type="dxa"/>
            <w:gridSpan w:val="2"/>
            <w:tcBorders>
              <w:left w:val="single" w:color="auto" w:sz="4" w:space="0"/>
              <w:right w:val="single" w:color="auto" w:sz="4" w:space="0"/>
            </w:tcBorders>
            <w:vAlign w:val="center"/>
          </w:tcPr>
          <w:p>
            <w:pPr>
              <w:pStyle w:val="57"/>
              <w:rPr>
                <w:color w:val="auto"/>
                <w:sz w:val="24"/>
                <w:szCs w:val="24"/>
              </w:rPr>
            </w:pPr>
            <w:r>
              <w:rPr>
                <w:rFonts w:hint="eastAsia"/>
                <w:color w:val="auto"/>
                <w:sz w:val="24"/>
                <w:szCs w:val="24"/>
              </w:rPr>
              <w:t>净化过滤池沉渣</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环卫部门处理</w:t>
            </w:r>
          </w:p>
        </w:tc>
        <w:tc>
          <w:tcPr>
            <w:tcW w:w="2114" w:type="dxa"/>
            <w:vMerge w:val="continue"/>
            <w:tcBorders>
              <w:left w:val="single" w:color="auto" w:sz="4" w:space="0"/>
              <w:bottom w:val="single" w:color="auto" w:sz="4" w:space="0"/>
              <w:right w:val="single" w:color="auto" w:sz="12" w:space="0"/>
            </w:tcBorders>
            <w:vAlign w:val="center"/>
          </w:tcPr>
          <w:p>
            <w:pPr>
              <w:pStyle w:val="57"/>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restart"/>
            <w:tcBorders>
              <w:top w:val="single" w:color="auto" w:sz="6" w:space="0"/>
              <w:left w:val="single" w:color="auto" w:sz="12" w:space="0"/>
              <w:bottom w:val="single" w:color="auto" w:sz="4" w:space="0"/>
              <w:right w:val="single" w:color="auto" w:sz="4" w:space="0"/>
            </w:tcBorders>
            <w:vAlign w:val="center"/>
          </w:tcPr>
          <w:p>
            <w:pPr>
              <w:pStyle w:val="57"/>
              <w:rPr>
                <w:color w:val="auto"/>
                <w:sz w:val="24"/>
                <w:szCs w:val="24"/>
              </w:rPr>
            </w:pPr>
            <w:r>
              <w:rPr>
                <w:color w:val="auto"/>
                <w:sz w:val="24"/>
                <w:szCs w:val="24"/>
              </w:rPr>
              <w:t>噪声</w:t>
            </w:r>
          </w:p>
        </w:tc>
        <w:tc>
          <w:tcPr>
            <w:tcW w:w="995"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施工期</w:t>
            </w:r>
          </w:p>
        </w:tc>
        <w:tc>
          <w:tcPr>
            <w:tcW w:w="1138"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施工机械、车辆</w:t>
            </w:r>
          </w:p>
        </w:tc>
        <w:tc>
          <w:tcPr>
            <w:tcW w:w="1849"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噪声</w:t>
            </w:r>
          </w:p>
        </w:tc>
        <w:tc>
          <w:tcPr>
            <w:tcW w:w="1849" w:type="dxa"/>
            <w:tcBorders>
              <w:top w:val="single" w:color="auto" w:sz="6"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合理施工</w:t>
            </w:r>
          </w:p>
        </w:tc>
        <w:tc>
          <w:tcPr>
            <w:tcW w:w="2114" w:type="dxa"/>
            <w:tcBorders>
              <w:top w:val="single" w:color="auto" w:sz="6"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《建筑施工场界环境噪声排放标准》（GB12523-2011）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781" w:type="dxa"/>
            <w:vMerge w:val="continue"/>
            <w:tcBorders>
              <w:top w:val="single" w:color="auto" w:sz="4" w:space="0"/>
              <w:left w:val="single" w:color="auto" w:sz="12" w:space="0"/>
              <w:bottom w:val="single" w:color="auto" w:sz="4" w:space="0"/>
              <w:right w:val="single" w:color="auto" w:sz="4" w:space="0"/>
            </w:tcBorders>
            <w:vAlign w:val="center"/>
          </w:tcPr>
          <w:p>
            <w:pPr>
              <w:pStyle w:val="57"/>
              <w:rPr>
                <w:color w:val="auto"/>
                <w:sz w:val="24"/>
                <w:szCs w:val="24"/>
              </w:rPr>
            </w:pPr>
          </w:p>
        </w:tc>
        <w:tc>
          <w:tcPr>
            <w:tcW w:w="995"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运营期</w:t>
            </w:r>
          </w:p>
        </w:tc>
        <w:tc>
          <w:tcPr>
            <w:tcW w:w="1138"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加药泵</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噪声</w:t>
            </w:r>
          </w:p>
        </w:tc>
        <w:tc>
          <w:tcPr>
            <w:tcW w:w="1849" w:type="dxa"/>
            <w:tcBorders>
              <w:top w:val="single" w:color="auto" w:sz="4" w:space="0"/>
              <w:left w:val="single" w:color="auto" w:sz="4" w:space="0"/>
              <w:bottom w:val="single" w:color="auto" w:sz="4" w:space="0"/>
              <w:right w:val="single" w:color="auto" w:sz="4" w:space="0"/>
            </w:tcBorders>
            <w:vAlign w:val="center"/>
          </w:tcPr>
          <w:p>
            <w:pPr>
              <w:pStyle w:val="57"/>
              <w:rPr>
                <w:color w:val="auto"/>
                <w:sz w:val="24"/>
                <w:szCs w:val="24"/>
              </w:rPr>
            </w:pPr>
            <w:r>
              <w:rPr>
                <w:rFonts w:hint="eastAsia"/>
                <w:color w:val="auto"/>
                <w:sz w:val="24"/>
                <w:szCs w:val="24"/>
              </w:rPr>
              <w:t>合理布局</w:t>
            </w:r>
          </w:p>
        </w:tc>
        <w:tc>
          <w:tcPr>
            <w:tcW w:w="2114" w:type="dxa"/>
            <w:tcBorders>
              <w:top w:val="single" w:color="auto" w:sz="4" w:space="0"/>
              <w:left w:val="single" w:color="auto" w:sz="4" w:space="0"/>
              <w:bottom w:val="single" w:color="auto" w:sz="4" w:space="0"/>
              <w:right w:val="single" w:color="auto" w:sz="12" w:space="0"/>
            </w:tcBorders>
            <w:vAlign w:val="center"/>
          </w:tcPr>
          <w:p>
            <w:pPr>
              <w:pStyle w:val="57"/>
              <w:rPr>
                <w:color w:val="auto"/>
                <w:sz w:val="24"/>
                <w:szCs w:val="24"/>
              </w:rPr>
            </w:pPr>
            <w:r>
              <w:rPr>
                <w:rFonts w:hint="eastAsia"/>
                <w:color w:val="auto"/>
                <w:sz w:val="24"/>
                <w:szCs w:val="24"/>
              </w:rPr>
              <w:t>《工业企业厂界环境噪声排放标准》（GB12348-2008）中的2类标准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726" w:type="dxa"/>
            <w:gridSpan w:val="6"/>
            <w:tcBorders>
              <w:top w:val="single" w:color="auto" w:sz="4" w:space="0"/>
              <w:left w:val="single" w:color="auto" w:sz="12" w:space="0"/>
              <w:bottom w:val="single" w:color="auto" w:sz="12" w:space="0"/>
              <w:right w:val="single" w:color="auto" w:sz="12" w:space="0"/>
            </w:tcBorders>
          </w:tcPr>
          <w:p>
            <w:pPr>
              <w:pStyle w:val="57"/>
              <w:jc w:val="left"/>
              <w:rPr>
                <w:b/>
                <w:color w:val="auto"/>
                <w:sz w:val="24"/>
                <w:szCs w:val="24"/>
              </w:rPr>
            </w:pPr>
            <w:r>
              <w:rPr>
                <w:b/>
                <w:color w:val="auto"/>
                <w:sz w:val="24"/>
                <w:szCs w:val="24"/>
              </w:rPr>
              <w:t>主要生态影响</w:t>
            </w:r>
          </w:p>
          <w:p>
            <w:pPr>
              <w:ind w:firstLine="480"/>
              <w:rPr>
                <w:rFonts w:hint="eastAsia"/>
                <w:color w:val="auto"/>
                <w:sz w:val="24"/>
                <w:szCs w:val="24"/>
                <w:lang w:eastAsia="zh-CN"/>
              </w:rPr>
            </w:pPr>
            <w:r>
              <w:rPr>
                <w:rFonts w:hint="eastAsia"/>
                <w:color w:val="auto"/>
                <w:sz w:val="24"/>
                <w:szCs w:val="24"/>
              </w:rPr>
              <w:t>本工程主要为施工期的生态影响</w:t>
            </w:r>
            <w:r>
              <w:rPr>
                <w:rFonts w:hint="eastAsia"/>
                <w:color w:val="auto"/>
                <w:sz w:val="24"/>
                <w:szCs w:val="24"/>
                <w:lang w:eastAsia="zh-CN"/>
              </w:rPr>
              <w:t>，</w:t>
            </w:r>
            <w:r>
              <w:rPr>
                <w:rFonts w:hint="eastAsia"/>
                <w:color w:val="auto"/>
                <w:sz w:val="24"/>
                <w:szCs w:val="24"/>
              </w:rPr>
              <w:t>工程为供水设施建设项目，非禁止建设项目。</w:t>
            </w:r>
            <w:r>
              <w:rPr>
                <w:rFonts w:hint="eastAsia"/>
                <w:color w:val="auto"/>
                <w:sz w:val="24"/>
                <w:szCs w:val="24"/>
                <w:lang w:eastAsia="zh-CN"/>
              </w:rPr>
              <w:t>、</w:t>
            </w:r>
          </w:p>
          <w:p>
            <w:pPr>
              <w:ind w:firstLine="480"/>
              <w:rPr>
                <w:rFonts w:hint="eastAsia"/>
                <w:color w:val="auto"/>
                <w:sz w:val="24"/>
                <w:szCs w:val="24"/>
              </w:rPr>
            </w:pPr>
            <w:r>
              <w:rPr>
                <w:rFonts w:hint="eastAsia"/>
                <w:color w:val="auto"/>
                <w:sz w:val="24"/>
                <w:szCs w:val="24"/>
                <w:lang w:eastAsia="zh-CN"/>
              </w:rPr>
              <w:t>项目建设过程中的</w:t>
            </w:r>
            <w:r>
              <w:rPr>
                <w:rFonts w:hint="eastAsia"/>
                <w:color w:val="auto"/>
                <w:szCs w:val="24"/>
                <w:lang w:eastAsia="zh-CN"/>
              </w:rPr>
              <w:t>新建水厂、新建隧洞和水库的防渗补漏工程</w:t>
            </w:r>
            <w:r>
              <w:rPr>
                <w:rFonts w:hint="eastAsia"/>
                <w:color w:val="auto"/>
                <w:szCs w:val="24"/>
              </w:rPr>
              <w:t>将会</w:t>
            </w:r>
            <w:r>
              <w:rPr>
                <w:rFonts w:hint="eastAsia"/>
                <w:color w:val="auto"/>
                <w:szCs w:val="24"/>
                <w:lang w:eastAsia="zh-CN"/>
              </w:rPr>
              <w:t>一定程度上破坏</w:t>
            </w:r>
            <w:r>
              <w:rPr>
                <w:rFonts w:hint="eastAsia"/>
                <w:color w:val="auto"/>
                <w:szCs w:val="24"/>
              </w:rPr>
              <w:t>建设地原有植被</w:t>
            </w:r>
            <w:r>
              <w:rPr>
                <w:rFonts w:hint="eastAsia"/>
                <w:color w:val="auto"/>
                <w:sz w:val="24"/>
                <w:szCs w:val="24"/>
              </w:rPr>
              <w:t>，容易引起水土流失，</w:t>
            </w:r>
            <w:r>
              <w:rPr>
                <w:rFonts w:hint="eastAsia"/>
                <w:color w:val="auto"/>
                <w:sz w:val="24"/>
                <w:szCs w:val="24"/>
                <w:lang w:eastAsia="zh-CN"/>
              </w:rPr>
              <w:t>进而</w:t>
            </w:r>
            <w:r>
              <w:rPr>
                <w:rFonts w:hint="eastAsia"/>
                <w:color w:val="auto"/>
                <w:sz w:val="24"/>
                <w:szCs w:val="24"/>
              </w:rPr>
              <w:t>影响饮用水源水质。</w:t>
            </w:r>
          </w:p>
          <w:p>
            <w:pPr>
              <w:ind w:firstLine="480"/>
              <w:rPr>
                <w:rFonts w:hint="eastAsia"/>
                <w:color w:val="auto"/>
              </w:rPr>
            </w:pPr>
            <w:r>
              <w:rPr>
                <w:rFonts w:hint="eastAsia"/>
                <w:color w:val="auto"/>
                <w:sz w:val="24"/>
                <w:szCs w:val="24"/>
                <w:lang w:eastAsia="zh-CN"/>
              </w:rPr>
              <w:t>本项目新建一处取水口，取水规模为</w:t>
            </w:r>
            <w:r>
              <w:rPr>
                <w:rFonts w:hint="eastAsia"/>
                <w:color w:val="auto"/>
                <w:sz w:val="24"/>
                <w:szCs w:val="24"/>
                <w:lang w:val="en-US" w:eastAsia="zh-CN"/>
              </w:rPr>
              <w:t>606m</w:t>
            </w:r>
            <w:r>
              <w:rPr>
                <w:rFonts w:hint="eastAsia"/>
                <w:color w:val="auto"/>
                <w:sz w:val="24"/>
                <w:szCs w:val="24"/>
                <w:vertAlign w:val="superscript"/>
                <w:lang w:val="en-US" w:eastAsia="zh-CN"/>
              </w:rPr>
              <w:t>3</w:t>
            </w:r>
            <w:r>
              <w:rPr>
                <w:rFonts w:hint="eastAsia"/>
                <w:color w:val="auto"/>
                <w:sz w:val="24"/>
                <w:szCs w:val="24"/>
                <w:lang w:val="en-US" w:eastAsia="zh-CN"/>
              </w:rPr>
              <w:t>/d，而</w:t>
            </w:r>
            <w:r>
              <w:rPr>
                <w:rFonts w:hint="eastAsia"/>
                <w:color w:val="auto"/>
                <w:lang w:eastAsia="zh-CN"/>
              </w:rPr>
              <w:t>八一</w:t>
            </w:r>
            <w:r>
              <w:rPr>
                <w:rFonts w:hint="eastAsia"/>
                <w:color w:val="auto"/>
              </w:rPr>
              <w:t>水库集水面积</w:t>
            </w:r>
            <w:r>
              <w:rPr>
                <w:rFonts w:hint="eastAsia"/>
                <w:color w:val="auto"/>
                <w:lang w:val="en-US" w:eastAsia="zh-CN"/>
              </w:rPr>
              <w:t>1.2km</w:t>
            </w:r>
            <w:r>
              <w:rPr>
                <w:rFonts w:hint="eastAsia"/>
                <w:color w:val="auto"/>
                <w:vertAlign w:val="superscript"/>
                <w:lang w:val="en-US" w:eastAsia="zh-CN"/>
              </w:rPr>
              <w:t>2</w:t>
            </w:r>
            <w:r>
              <w:rPr>
                <w:rFonts w:hint="eastAsia"/>
                <w:color w:val="auto"/>
              </w:rPr>
              <w:t>，总库容</w:t>
            </w:r>
            <w:r>
              <w:rPr>
                <w:rFonts w:hint="eastAsia"/>
                <w:color w:val="auto"/>
                <w:lang w:eastAsia="zh-CN"/>
              </w:rPr>
              <w:t>2</w:t>
            </w:r>
            <w:r>
              <w:rPr>
                <w:rFonts w:hint="eastAsia"/>
                <w:color w:val="auto"/>
                <w:lang w:val="en-US" w:eastAsia="zh-CN"/>
              </w:rPr>
              <w:t>8</w:t>
            </w:r>
            <w:r>
              <w:rPr>
                <w:rFonts w:hint="eastAsia"/>
                <w:color w:val="auto"/>
              </w:rPr>
              <w:t>万m³</w:t>
            </w:r>
            <w:r>
              <w:rPr>
                <w:rFonts w:hint="eastAsia"/>
                <w:color w:val="auto"/>
                <w:lang w:eastAsia="zh-CN"/>
              </w:rPr>
              <w:t>，工程建成后，水厂仅作为西江镇的补充水源，增加取水量对八一水库的影响较小。</w:t>
            </w:r>
            <w:r>
              <w:rPr>
                <w:rFonts w:hint="eastAsia"/>
                <w:color w:val="auto"/>
              </w:rPr>
              <w:t>根据实地调查，</w:t>
            </w:r>
            <w:r>
              <w:rPr>
                <w:rFonts w:hint="eastAsia"/>
                <w:color w:val="auto"/>
                <w:lang w:eastAsia="zh-CN"/>
              </w:rPr>
              <w:t>八一</w:t>
            </w:r>
            <w:r>
              <w:rPr>
                <w:rFonts w:hint="eastAsia"/>
                <w:color w:val="auto"/>
              </w:rPr>
              <w:t>水库没有发现珍稀水生生物及较大经济鱼类产卵场，生物主要以浮游生物为主，取水对其水生生物影响较小。</w:t>
            </w:r>
          </w:p>
          <w:p>
            <w:pPr>
              <w:ind w:firstLine="480"/>
              <w:rPr>
                <w:rFonts w:hint="eastAsia"/>
                <w:color w:val="auto"/>
                <w:sz w:val="24"/>
                <w:szCs w:val="24"/>
              </w:rPr>
            </w:pPr>
            <w:r>
              <w:rPr>
                <w:rFonts w:hint="eastAsia"/>
                <w:color w:val="auto"/>
                <w:sz w:val="24"/>
                <w:szCs w:val="24"/>
              </w:rPr>
              <w:t>项目在建设施工过程中通过采取相应的保护措施，加强施工管理，项目施工期对环境影响较小。水厂工程施工过程中破坏的植被在采取绿化和污染防治措施减轻对周边生态环境的影响，</w:t>
            </w:r>
            <w:r>
              <w:rPr>
                <w:rFonts w:hint="eastAsia"/>
                <w:color w:val="auto"/>
                <w:sz w:val="24"/>
                <w:szCs w:val="24"/>
                <w:lang w:eastAsia="zh-CN"/>
              </w:rPr>
              <w:t>对周边环境</w:t>
            </w:r>
            <w:r>
              <w:rPr>
                <w:rFonts w:hint="eastAsia"/>
                <w:color w:val="auto"/>
                <w:sz w:val="24"/>
                <w:szCs w:val="24"/>
              </w:rPr>
              <w:t>产生的生态影响在可接受范围内。</w:t>
            </w: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pStyle w:val="2"/>
              <w:rPr>
                <w:rFonts w:hint="eastAsia"/>
                <w:color w:val="auto"/>
                <w:sz w:val="24"/>
                <w:szCs w:val="24"/>
              </w:rPr>
            </w:pPr>
          </w:p>
          <w:p>
            <w:pPr>
              <w:ind w:firstLine="480"/>
              <w:rPr>
                <w:rFonts w:hint="eastAsia" w:eastAsia="宋体"/>
                <w:color w:val="auto"/>
                <w:lang w:val="en-US" w:eastAsia="zh-CN"/>
              </w:rPr>
            </w:pPr>
          </w:p>
          <w:p>
            <w:pPr>
              <w:pStyle w:val="2"/>
              <w:rPr>
                <w:color w:val="auto"/>
                <w:sz w:val="24"/>
                <w:szCs w:val="24"/>
              </w:rPr>
            </w:pPr>
          </w:p>
          <w:p>
            <w:pPr>
              <w:ind w:firstLine="480"/>
              <w:rPr>
                <w:color w:val="auto"/>
                <w:sz w:val="24"/>
                <w:szCs w:val="24"/>
              </w:rPr>
            </w:pPr>
          </w:p>
        </w:tc>
      </w:tr>
    </w:tbl>
    <w:p>
      <w:pPr>
        <w:pStyle w:val="36"/>
        <w:topLinePunct/>
        <w:rPr>
          <w:color w:val="auto"/>
        </w:rPr>
      </w:pPr>
      <w:r>
        <w:rPr>
          <w:color w:val="auto"/>
        </w:rPr>
        <w:t>结论与建议</w:t>
      </w:r>
    </w:p>
    <w:tbl>
      <w:tblPr>
        <w:tblStyle w:val="39"/>
        <w:tblW w:w="869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6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pStyle w:val="55"/>
              <w:ind w:firstLine="482"/>
              <w:rPr>
                <w:color w:val="auto"/>
              </w:rPr>
            </w:pPr>
            <w:r>
              <w:rPr>
                <w:color w:val="auto"/>
              </w:rPr>
              <w:t>1、工程概况</w:t>
            </w:r>
          </w:p>
          <w:p>
            <w:pPr>
              <w:ind w:firstLine="480"/>
              <w:rPr>
                <w:b/>
                <w:color w:val="auto"/>
              </w:rPr>
            </w:pPr>
            <w:r>
              <w:rPr>
                <w:rFonts w:hint="eastAsia"/>
                <w:color w:val="auto"/>
              </w:rPr>
              <w:t>本工程选址位于</w:t>
            </w:r>
            <w:r>
              <w:rPr>
                <w:rFonts w:hint="eastAsia"/>
                <w:color w:val="auto"/>
                <w:lang w:eastAsia="zh-CN"/>
              </w:rPr>
              <w:t>连州市西江镇区</w:t>
            </w:r>
            <w:r>
              <w:rPr>
                <w:rFonts w:hint="eastAsia"/>
                <w:color w:val="auto"/>
              </w:rPr>
              <w:t>，中心场址：</w:t>
            </w:r>
            <w:r>
              <w:rPr>
                <w:rFonts w:hint="eastAsia"/>
                <w:color w:val="auto"/>
                <w:lang w:eastAsia="zh-CN"/>
              </w:rPr>
              <w:t>112°35'22.27"东、24°45'31.50"北</w:t>
            </w:r>
            <w:r>
              <w:rPr>
                <w:rFonts w:hint="eastAsia"/>
                <w:color w:val="auto"/>
              </w:rPr>
              <w:t>。工程任务及建设内容包括：①</w:t>
            </w:r>
            <w:r>
              <w:rPr>
                <w:rFonts w:hint="eastAsia"/>
                <w:color w:val="auto"/>
                <w:lang w:eastAsia="zh-CN"/>
              </w:rPr>
              <w:t>在</w:t>
            </w:r>
            <w:r>
              <w:rPr>
                <w:rFonts w:hint="eastAsia"/>
                <w:color w:val="auto"/>
                <w:highlight w:val="none"/>
                <w:lang w:eastAsia="zh-CN"/>
              </w:rPr>
              <w:t>八一</w:t>
            </w:r>
            <w:r>
              <w:rPr>
                <w:rFonts w:hint="eastAsia"/>
                <w:color w:val="auto"/>
                <w:highlight w:val="none"/>
              </w:rPr>
              <w:t>水库</w:t>
            </w:r>
            <w:r>
              <w:rPr>
                <w:rFonts w:hint="eastAsia"/>
                <w:color w:val="auto"/>
                <w:highlight w:val="none"/>
                <w:lang w:eastAsia="zh-CN"/>
              </w:rPr>
              <w:t>大坝隧洞出口处用管道连接至隧洞入口的方式取水</w:t>
            </w:r>
            <w:r>
              <w:rPr>
                <w:rFonts w:hint="eastAsia"/>
                <w:color w:val="auto"/>
              </w:rPr>
              <w:t>，取水量</w:t>
            </w:r>
            <w:r>
              <w:rPr>
                <w:rFonts w:hint="eastAsia"/>
                <w:color w:val="auto"/>
                <w:lang w:eastAsia="zh-CN"/>
              </w:rPr>
              <w:t>为</w:t>
            </w:r>
            <w:r>
              <w:rPr>
                <w:rFonts w:hint="eastAsia"/>
                <w:color w:val="auto"/>
                <w:lang w:val="en-US" w:eastAsia="zh-CN"/>
              </w:rPr>
              <w:t>606</w:t>
            </w:r>
            <w:r>
              <w:rPr>
                <w:rFonts w:hint="eastAsia"/>
                <w:color w:val="auto"/>
              </w:rPr>
              <w:t>m³/d；②</w:t>
            </w:r>
            <w:r>
              <w:rPr>
                <w:rFonts w:hint="eastAsia"/>
                <w:color w:val="auto"/>
                <w:lang w:eastAsia="zh-CN"/>
              </w:rPr>
              <w:t>新建一座小型自来水厂</w:t>
            </w:r>
            <w:r>
              <w:rPr>
                <w:rFonts w:hint="eastAsia"/>
                <w:color w:val="auto"/>
              </w:rPr>
              <w:t>（中心地理坐标：</w:t>
            </w:r>
            <w:r>
              <w:rPr>
                <w:rFonts w:hint="eastAsia"/>
                <w:color w:val="auto"/>
                <w:lang w:eastAsia="zh-CN"/>
              </w:rPr>
              <w:t>112°35'22.27"东、24°45'31.50"北</w:t>
            </w:r>
            <w:r>
              <w:rPr>
                <w:rFonts w:hint="eastAsia"/>
                <w:color w:val="auto"/>
              </w:rPr>
              <w:t>），主要建筑物有</w:t>
            </w:r>
            <w:r>
              <w:rPr>
                <w:rFonts w:hint="eastAsia"/>
                <w:color w:val="auto"/>
                <w:lang w:val="en-US" w:eastAsia="zh-CN"/>
              </w:rPr>
              <w:t>自来水净化设施、</w:t>
            </w:r>
            <w:r>
              <w:rPr>
                <w:rFonts w:hint="eastAsia"/>
                <w:color w:val="auto"/>
              </w:rPr>
              <w:t>配套</w:t>
            </w:r>
            <w:r>
              <w:rPr>
                <w:rFonts w:hint="eastAsia"/>
                <w:color w:val="auto"/>
                <w:lang w:eastAsia="zh-CN"/>
              </w:rPr>
              <w:t>办公</w:t>
            </w:r>
            <w:r>
              <w:rPr>
                <w:rFonts w:hint="eastAsia"/>
                <w:color w:val="auto"/>
              </w:rPr>
              <w:t>管理房、加药房</w:t>
            </w:r>
            <w:r>
              <w:rPr>
                <w:rFonts w:hint="eastAsia"/>
                <w:color w:val="auto"/>
                <w:lang w:eastAsia="zh-CN"/>
              </w:rPr>
              <w:t>；③</w:t>
            </w:r>
            <w:r>
              <w:rPr>
                <w:rFonts w:hint="eastAsia"/>
                <w:color w:val="auto"/>
                <w:lang w:val="en-US" w:eastAsia="zh-CN"/>
              </w:rPr>
              <w:t>新建自来水净化设 施一套，位于新建自来水厂内；④新建一条进厂道路，长605m，宽3m；⑤对八一水库进行防渗补漏</w:t>
            </w:r>
            <w:r>
              <w:rPr>
                <w:rFonts w:hint="eastAsia"/>
                <w:color w:val="auto"/>
              </w:rPr>
              <w:t>。</w:t>
            </w:r>
          </w:p>
          <w:p>
            <w:pPr>
              <w:pStyle w:val="55"/>
              <w:ind w:firstLine="482"/>
              <w:rPr>
                <w:color w:val="auto"/>
              </w:rPr>
            </w:pPr>
            <w:r>
              <w:rPr>
                <w:color w:val="auto"/>
              </w:rPr>
              <w:t>2、工程周围环境质量现状评价结论</w:t>
            </w:r>
          </w:p>
          <w:p>
            <w:pPr>
              <w:ind w:firstLine="480"/>
              <w:rPr>
                <w:color w:val="auto"/>
                <w:u w:val="none"/>
              </w:rPr>
            </w:pPr>
            <w:r>
              <w:rPr>
                <w:rFonts w:hint="eastAsia"/>
                <w:color w:val="auto"/>
              </w:rPr>
              <w:t>（1）</w:t>
            </w:r>
            <w:r>
              <w:rPr>
                <w:color w:val="auto"/>
              </w:rPr>
              <w:t>工程所在区域环境空气质量符合《环境空气质量标准》（GB3095-2012）二级标准</w:t>
            </w:r>
            <w:r>
              <w:rPr>
                <w:color w:val="auto"/>
                <w:u w:val="none"/>
              </w:rPr>
              <w:t>，说明该评价区域环境空气质量良好。</w:t>
            </w:r>
          </w:p>
          <w:p>
            <w:pPr>
              <w:ind w:firstLine="480"/>
              <w:rPr>
                <w:color w:val="auto"/>
                <w:szCs w:val="24"/>
              </w:rPr>
            </w:pPr>
            <w:r>
              <w:rPr>
                <w:rFonts w:hint="eastAsia"/>
                <w:color w:val="auto"/>
                <w:szCs w:val="24"/>
                <w:u w:val="none"/>
              </w:rPr>
              <w:t>（2）</w:t>
            </w:r>
            <w:r>
              <w:rPr>
                <w:rFonts w:ascii="Times New Roman" w:hAnsi="Times New Roman" w:cs="Times New Roman"/>
                <w:color w:val="auto"/>
                <w:kern w:val="2"/>
                <w:u w:val="none"/>
              </w:rPr>
              <w:t>西江水</w:t>
            </w:r>
            <w:r>
              <w:rPr>
                <w:rFonts w:hint="eastAsia"/>
                <w:color w:val="auto"/>
                <w:u w:val="none"/>
                <w:lang w:eastAsia="zh-CN"/>
              </w:rPr>
              <w:t>的</w:t>
            </w:r>
            <w:r>
              <w:rPr>
                <w:rFonts w:hint="eastAsia" w:ascii="Times New Roman" w:hAnsi="Times New Roman" w:cs="Times New Roman"/>
                <w:color w:val="auto"/>
                <w:kern w:val="2"/>
                <w:u w:val="none"/>
              </w:rPr>
              <w:t>COD</w:t>
            </w:r>
            <w:r>
              <w:rPr>
                <w:rFonts w:ascii="Times New Roman" w:hAnsi="Times New Roman" w:cs="Times New Roman"/>
                <w:color w:val="auto"/>
                <w:kern w:val="2"/>
                <w:u w:val="none"/>
                <w:vertAlign w:val="subscript"/>
              </w:rPr>
              <w:t>cr</w:t>
            </w:r>
            <w:r>
              <w:rPr>
                <w:rFonts w:hint="eastAsia"/>
                <w:color w:val="auto"/>
                <w:u w:val="none"/>
                <w:lang w:eastAsia="zh-CN"/>
              </w:rPr>
              <w:t>超过</w:t>
            </w:r>
            <w:r>
              <w:rPr>
                <w:color w:val="auto"/>
                <w:u w:val="none"/>
              </w:rPr>
              <w:t>《地表水环境质量标准》（GB3838-2002）</w:t>
            </w:r>
            <w:r>
              <w:rPr>
                <w:rFonts w:hint="eastAsia"/>
                <w:color w:val="auto"/>
                <w:kern w:val="2"/>
                <w:u w:val="none"/>
              </w:rPr>
              <w:t>Ⅱ</w:t>
            </w:r>
            <w:r>
              <w:rPr>
                <w:color w:val="auto"/>
                <w:u w:val="none"/>
              </w:rPr>
              <w:t>类标准，</w:t>
            </w:r>
            <w:r>
              <w:rPr>
                <w:rFonts w:ascii="Times New Roman" w:hAnsi="Times New Roman" w:cs="Times New Roman"/>
                <w:color w:val="auto"/>
                <w:kern w:val="2"/>
                <w:u w:val="none"/>
              </w:rPr>
              <w:t>说明</w:t>
            </w:r>
            <w:r>
              <w:rPr>
                <w:rFonts w:hint="eastAsia" w:ascii="Times New Roman" w:hAnsi="Times New Roman" w:cs="Times New Roman"/>
                <w:color w:val="auto"/>
                <w:kern w:val="2"/>
                <w:u w:val="none"/>
              </w:rPr>
              <w:t>西江水</w:t>
            </w:r>
            <w:r>
              <w:rPr>
                <w:rFonts w:ascii="Times New Roman" w:hAnsi="Times New Roman" w:cs="Times New Roman"/>
                <w:color w:val="auto"/>
                <w:kern w:val="2"/>
                <w:u w:val="none"/>
              </w:rPr>
              <w:t>水环境质量现状较差</w:t>
            </w:r>
            <w:r>
              <w:rPr>
                <w:color w:val="auto"/>
                <w:u w:val="none"/>
              </w:rPr>
              <w:t>。</w:t>
            </w:r>
          </w:p>
          <w:p>
            <w:pPr>
              <w:ind w:firstLine="464"/>
              <w:rPr>
                <w:color w:val="auto"/>
                <w:spacing w:val="-4"/>
                <w:szCs w:val="24"/>
              </w:rPr>
            </w:pPr>
            <w:r>
              <w:rPr>
                <w:rFonts w:hint="eastAsia"/>
                <w:color w:val="auto"/>
                <w:spacing w:val="-4"/>
                <w:szCs w:val="24"/>
              </w:rPr>
              <w:t>（3）工程所在区域声环境质量符合《声环境质量标准》（GB3096-2008）中2类标准，说明该评价区域声环境质量良好。</w:t>
            </w:r>
          </w:p>
          <w:p>
            <w:pPr>
              <w:pStyle w:val="55"/>
              <w:ind w:firstLine="482"/>
              <w:rPr>
                <w:color w:val="auto"/>
              </w:rPr>
            </w:pPr>
            <w:r>
              <w:rPr>
                <w:rFonts w:hint="eastAsia"/>
                <w:color w:val="auto"/>
              </w:rPr>
              <w:t>3、施工</w:t>
            </w:r>
            <w:r>
              <w:rPr>
                <w:color w:val="auto"/>
              </w:rPr>
              <w:t>期环境影响分析结论</w:t>
            </w:r>
          </w:p>
          <w:p>
            <w:pPr>
              <w:ind w:firstLine="480"/>
              <w:rPr>
                <w:color w:val="auto"/>
              </w:rPr>
            </w:pPr>
            <w:r>
              <w:rPr>
                <w:rFonts w:hint="eastAsia"/>
                <w:color w:val="auto"/>
              </w:rPr>
              <w:t>（1）大气</w:t>
            </w:r>
            <w:r>
              <w:rPr>
                <w:color w:val="auto"/>
              </w:rPr>
              <w:t>环境影响分析</w:t>
            </w:r>
          </w:p>
          <w:p>
            <w:pPr>
              <w:ind w:firstLine="480"/>
              <w:rPr>
                <w:color w:val="auto"/>
              </w:rPr>
            </w:pPr>
            <w:r>
              <w:rPr>
                <w:rFonts w:hint="eastAsia"/>
                <w:color w:val="auto"/>
              </w:rPr>
              <w:t>施工阶段造成大气污染的主要产生源为施工扬尘和施工机械、运输车辆尾气。通过洒水、加强回填土方和建筑材料管理、运输车辆配置防散落装备等措施，工程施工期产生的扬尘及废气对大气环境影响较小。</w:t>
            </w:r>
          </w:p>
          <w:p>
            <w:pPr>
              <w:ind w:firstLine="480"/>
              <w:rPr>
                <w:color w:val="auto"/>
              </w:rPr>
            </w:pPr>
            <w:r>
              <w:rPr>
                <w:rFonts w:hint="eastAsia"/>
                <w:color w:val="auto"/>
              </w:rPr>
              <w:t>（2）水环境</w:t>
            </w:r>
            <w:r>
              <w:rPr>
                <w:color w:val="auto"/>
              </w:rPr>
              <w:t>影响分析</w:t>
            </w:r>
          </w:p>
          <w:p>
            <w:pPr>
              <w:ind w:firstLine="480"/>
              <w:rPr>
                <w:color w:val="auto"/>
                <w:szCs w:val="24"/>
              </w:rPr>
            </w:pPr>
            <w:r>
              <w:rPr>
                <w:rFonts w:hint="eastAsia"/>
                <w:color w:val="auto"/>
              </w:rPr>
              <w:t>施工废水收集后经隔油隔渣池、沉砂池处理后回用于施工</w:t>
            </w:r>
            <w:r>
              <w:rPr>
                <w:color w:val="auto"/>
              </w:rPr>
              <w:t>场地洒水降尘或绿化灌溉</w:t>
            </w:r>
            <w:r>
              <w:rPr>
                <w:rFonts w:hint="eastAsia"/>
                <w:color w:val="auto"/>
              </w:rPr>
              <w:t>，不外排，施工人员的日常如厕活动依托周边的卫生设施，项目施工期不对外排放生活污水。</w:t>
            </w:r>
            <w:r>
              <w:rPr>
                <w:rFonts w:hint="eastAsia"/>
                <w:color w:val="auto"/>
                <w:szCs w:val="24"/>
              </w:rPr>
              <w:t>总的说来，工程施工过程中对周围水体的影响是可以接受的。</w:t>
            </w:r>
          </w:p>
          <w:p>
            <w:pPr>
              <w:ind w:firstLine="480"/>
              <w:rPr>
                <w:color w:val="auto"/>
              </w:rPr>
            </w:pPr>
            <w:r>
              <w:rPr>
                <w:rFonts w:hint="eastAsia"/>
                <w:color w:val="auto"/>
              </w:rPr>
              <w:t>（3）声环境</w:t>
            </w:r>
            <w:r>
              <w:rPr>
                <w:color w:val="auto"/>
              </w:rPr>
              <w:t>影响分析</w:t>
            </w:r>
          </w:p>
          <w:p>
            <w:pPr>
              <w:ind w:firstLine="480"/>
              <w:rPr>
                <w:color w:val="auto"/>
              </w:rPr>
            </w:pPr>
            <w:r>
              <w:rPr>
                <w:rFonts w:hint="eastAsia"/>
                <w:color w:val="auto"/>
              </w:rPr>
              <w:t>工程施工期主要的噪声来源于施工机械设备产生的噪声。为有效防治本工程施工可能产生的噪声污染，建议采取以下防治措施：禁止高噪声设备在休息时间；选用低噪声机械设备或带隔声、消声的设备，加强对施工设备的维修保养；合理安排好施工时间和施工场所，高噪声作业区应远离住宅，并对设备定期保养，严格操作规范，采取临时隔声围护结构或吸声隔声屏障，减轻噪声影响；合理疏导进入施工区的车辆，减少汽车会车时的鸣笛噪声等。通过上述措施后，施工期噪声对周围声环境的影响是可以接受的。</w:t>
            </w:r>
          </w:p>
          <w:p>
            <w:pPr>
              <w:ind w:firstLine="480"/>
              <w:rPr>
                <w:color w:val="auto"/>
              </w:rPr>
            </w:pPr>
            <w:r>
              <w:rPr>
                <w:rFonts w:hint="eastAsia"/>
                <w:color w:val="auto"/>
              </w:rPr>
              <w:t>（4）固体废物环境</w:t>
            </w:r>
            <w:r>
              <w:rPr>
                <w:color w:val="auto"/>
              </w:rPr>
              <w:t>影响分析</w:t>
            </w:r>
          </w:p>
          <w:p>
            <w:pPr>
              <w:ind w:firstLine="480"/>
              <w:rPr>
                <w:color w:val="auto"/>
                <w:szCs w:val="24"/>
              </w:rPr>
            </w:pPr>
            <w:r>
              <w:rPr>
                <w:rFonts w:hint="eastAsia"/>
                <w:color w:val="auto"/>
              </w:rPr>
              <w:t>本工程施工期期间的工程弃土外运至指定的弃渣场进行处理，施工人员生活垃圾集中收集后由环卫部门清运处理。</w:t>
            </w:r>
            <w:r>
              <w:rPr>
                <w:rFonts w:hint="eastAsia"/>
                <w:color w:val="auto"/>
                <w:szCs w:val="24"/>
              </w:rPr>
              <w:t>只要加强管理，采取切实可行的措施，本工程施工期间产生的固体废物不会对环境产生明显的影响。</w:t>
            </w:r>
          </w:p>
          <w:p>
            <w:pPr>
              <w:pStyle w:val="55"/>
              <w:ind w:firstLine="482"/>
              <w:rPr>
                <w:color w:val="auto"/>
              </w:rPr>
            </w:pPr>
            <w:r>
              <w:rPr>
                <w:rFonts w:hint="eastAsia"/>
                <w:color w:val="auto"/>
              </w:rPr>
              <w:t>4</w:t>
            </w:r>
            <w:r>
              <w:rPr>
                <w:color w:val="auto"/>
              </w:rPr>
              <w:t>、营运期环境影响分析结论</w:t>
            </w:r>
          </w:p>
          <w:p>
            <w:pPr>
              <w:ind w:firstLine="480"/>
              <w:rPr>
                <w:color w:val="auto"/>
              </w:rPr>
            </w:pPr>
            <w:r>
              <w:rPr>
                <w:rFonts w:hint="eastAsia"/>
                <w:color w:val="auto"/>
              </w:rPr>
              <w:t>（1）废水：员工生活污水经</w:t>
            </w:r>
            <w:r>
              <w:rPr>
                <w:rFonts w:hint="eastAsia"/>
                <w:color w:val="auto"/>
                <w:lang w:eastAsia="zh-CN"/>
              </w:rPr>
              <w:t>“隔油隔渣池</w:t>
            </w:r>
            <w:r>
              <w:rPr>
                <w:rFonts w:hint="eastAsia"/>
                <w:color w:val="auto"/>
                <w:lang w:val="en-US" w:eastAsia="zh-CN"/>
              </w:rPr>
              <w:t>+</w:t>
            </w:r>
            <w:r>
              <w:rPr>
                <w:rFonts w:hint="eastAsia"/>
                <w:color w:val="auto"/>
              </w:rPr>
              <w:t>三级化粪池</w:t>
            </w:r>
            <w:r>
              <w:rPr>
                <w:rFonts w:hint="eastAsia"/>
                <w:color w:val="auto"/>
                <w:lang w:eastAsia="zh-CN"/>
              </w:rPr>
              <w:t>”</w:t>
            </w:r>
            <w:r>
              <w:rPr>
                <w:rFonts w:hint="eastAsia"/>
                <w:color w:val="auto"/>
              </w:rPr>
              <w:t>处理后回用于绿化用水，不外排，对周围水环境影响不大。</w:t>
            </w:r>
          </w:p>
          <w:p>
            <w:pPr>
              <w:ind w:firstLine="480"/>
              <w:rPr>
                <w:color w:val="auto"/>
              </w:rPr>
            </w:pPr>
            <w:r>
              <w:rPr>
                <w:rFonts w:hint="eastAsia"/>
                <w:color w:val="auto"/>
              </w:rPr>
              <w:t>（2）废气：项目食堂油烟经吸排油烟机处理后引至楼顶排放。本项目废气对外环境影响不大。</w:t>
            </w:r>
          </w:p>
          <w:p>
            <w:pPr>
              <w:ind w:firstLine="480"/>
              <w:rPr>
                <w:color w:val="auto"/>
              </w:rPr>
            </w:pPr>
            <w:r>
              <w:rPr>
                <w:rFonts w:hint="eastAsia"/>
                <w:color w:val="auto"/>
              </w:rPr>
              <w:t>（3）噪声：对高噪声源进行防振、隔音、消声处理，同时加强厂区绿化，噪声再经植物吸收后，正常情况厂界四侧噪声可达到《工业企业厂界环境噪声排放标准》（GB12348-2008）中的</w:t>
            </w:r>
            <w:r>
              <w:rPr>
                <w:rFonts w:hint="eastAsia"/>
                <w:color w:val="auto"/>
                <w:lang w:val="en-US" w:eastAsia="zh-CN"/>
              </w:rPr>
              <w:t>2</w:t>
            </w:r>
            <w:r>
              <w:rPr>
                <w:rFonts w:hint="eastAsia"/>
                <w:color w:val="auto"/>
              </w:rPr>
              <w:t>类标准，对周围环境影响不大。</w:t>
            </w:r>
          </w:p>
          <w:p>
            <w:pPr>
              <w:ind w:firstLine="480"/>
              <w:rPr>
                <w:rFonts w:hint="eastAsia" w:eastAsia="宋体"/>
                <w:color w:val="auto"/>
                <w:lang w:eastAsia="zh-CN"/>
              </w:rPr>
            </w:pPr>
            <w:r>
              <w:rPr>
                <w:rFonts w:hint="eastAsia"/>
                <w:color w:val="auto"/>
              </w:rPr>
              <w:t>（4）固体废弃物：本项目产生的生活垃圾指定地点收集交由环卫部门统一清运，定期清理，统一处置，并要做好垃圾堆放点的消毒；废包装材料暂存于一般固废仓，定期交由资源回收单位进行回收处理；净化过滤池沉渣暂存于一般固废仓，定期交由环卫部门处理</w:t>
            </w:r>
            <w:r>
              <w:rPr>
                <w:rFonts w:hint="eastAsia"/>
                <w:color w:val="auto"/>
                <w:lang w:eastAsia="zh-CN"/>
              </w:rPr>
              <w:t>。</w:t>
            </w:r>
          </w:p>
          <w:p>
            <w:pPr>
              <w:ind w:firstLine="480"/>
              <w:rPr>
                <w:color w:val="auto"/>
              </w:rPr>
            </w:pPr>
            <w:r>
              <w:rPr>
                <w:rFonts w:hint="eastAsia"/>
                <w:color w:val="auto"/>
              </w:rPr>
              <w:t>经过上述处理后，本项目的固体废物对周围环境影响不大。</w:t>
            </w:r>
          </w:p>
          <w:p>
            <w:pPr>
              <w:ind w:firstLine="480"/>
              <w:rPr>
                <w:color w:val="auto"/>
              </w:rPr>
            </w:pPr>
            <w:r>
              <w:rPr>
                <w:rFonts w:hint="eastAsia"/>
                <w:color w:val="auto"/>
              </w:rPr>
              <w:t>（5）生态影响</w:t>
            </w:r>
          </w:p>
          <w:p>
            <w:pPr>
              <w:ind w:firstLine="480"/>
              <w:rPr>
                <w:rFonts w:hint="eastAsia"/>
                <w:color w:val="auto"/>
              </w:rPr>
            </w:pPr>
            <w:r>
              <w:rPr>
                <w:rFonts w:hint="eastAsia"/>
                <w:color w:val="auto"/>
              </w:rPr>
              <w:t>在施工过程中，新建水厂、新建隧洞和水库的防渗补漏工程将会一定程度上破坏建设地原有植被，容易引起水土流失，影响饮用水源水质。</w:t>
            </w:r>
          </w:p>
          <w:p>
            <w:pPr>
              <w:ind w:firstLine="480"/>
              <w:rPr>
                <w:rFonts w:hint="eastAsia"/>
                <w:color w:val="auto"/>
                <w:lang w:eastAsia="zh-CN"/>
              </w:rPr>
            </w:pPr>
            <w:r>
              <w:rPr>
                <w:rFonts w:hint="eastAsia"/>
                <w:color w:val="auto"/>
              </w:rPr>
              <w:t>根据实地调查，</w:t>
            </w:r>
            <w:r>
              <w:rPr>
                <w:rFonts w:hint="eastAsia"/>
                <w:color w:val="auto"/>
                <w:lang w:eastAsia="zh-CN"/>
              </w:rPr>
              <w:t>八一</w:t>
            </w:r>
            <w:r>
              <w:rPr>
                <w:rFonts w:hint="eastAsia"/>
                <w:color w:val="auto"/>
              </w:rPr>
              <w:t>水库没有发现珍稀水生生物及较大经济鱼类产卵场，生物主要以浮游生物为主，取水对其水生生物影响较小。</w:t>
            </w:r>
            <w:r>
              <w:rPr>
                <w:rFonts w:hint="eastAsia"/>
                <w:color w:val="auto"/>
                <w:lang w:eastAsia="zh-CN"/>
              </w:rPr>
              <w:t>八一</w:t>
            </w:r>
            <w:r>
              <w:rPr>
                <w:rFonts w:hint="eastAsia"/>
                <w:color w:val="auto"/>
              </w:rPr>
              <w:t>水库集水面积</w:t>
            </w:r>
            <w:r>
              <w:rPr>
                <w:rFonts w:hint="eastAsia"/>
                <w:color w:val="auto"/>
                <w:lang w:val="en-US" w:eastAsia="zh-CN"/>
              </w:rPr>
              <w:t>1.2km</w:t>
            </w:r>
            <w:r>
              <w:rPr>
                <w:rFonts w:hint="eastAsia"/>
                <w:color w:val="auto"/>
                <w:vertAlign w:val="superscript"/>
                <w:lang w:val="en-US" w:eastAsia="zh-CN"/>
              </w:rPr>
              <w:t>2</w:t>
            </w:r>
            <w:r>
              <w:rPr>
                <w:rFonts w:hint="eastAsia"/>
                <w:color w:val="auto"/>
              </w:rPr>
              <w:t>，总库容</w:t>
            </w:r>
            <w:r>
              <w:rPr>
                <w:rFonts w:hint="eastAsia"/>
                <w:color w:val="auto"/>
                <w:lang w:val="en-US" w:eastAsia="zh-CN"/>
              </w:rPr>
              <w:t>2</w:t>
            </w:r>
            <w:r>
              <w:rPr>
                <w:rFonts w:hint="eastAsia"/>
                <w:color w:val="auto"/>
              </w:rPr>
              <w:t>8万m³，</w:t>
            </w:r>
            <w:r>
              <w:rPr>
                <w:rFonts w:hint="eastAsia"/>
                <w:color w:val="auto"/>
                <w:lang w:eastAsia="zh-CN"/>
              </w:rPr>
              <w:t>正常库容</w:t>
            </w:r>
            <w:r>
              <w:rPr>
                <w:rFonts w:hint="eastAsia"/>
                <w:color w:val="auto"/>
                <w:lang w:val="en-US" w:eastAsia="zh-CN"/>
              </w:rPr>
              <w:t>18</w:t>
            </w:r>
            <w:r>
              <w:rPr>
                <w:rFonts w:hint="eastAsia"/>
                <w:color w:val="auto"/>
              </w:rPr>
              <w:t>万m³</w:t>
            </w:r>
            <w:r>
              <w:rPr>
                <w:rFonts w:hint="eastAsia"/>
                <w:color w:val="auto"/>
                <w:lang w:eastAsia="zh-CN"/>
              </w:rPr>
              <w:t>，水源</w:t>
            </w:r>
            <w:r>
              <w:rPr>
                <w:rFonts w:hint="eastAsia"/>
                <w:color w:val="auto"/>
              </w:rPr>
              <w:t>取水量</w:t>
            </w:r>
            <w:r>
              <w:rPr>
                <w:rFonts w:hint="eastAsia"/>
                <w:color w:val="auto"/>
                <w:lang w:eastAsia="zh-CN"/>
              </w:rPr>
              <w:t>约</w:t>
            </w:r>
            <w:r>
              <w:rPr>
                <w:rFonts w:hint="eastAsia"/>
                <w:color w:val="auto"/>
                <w:lang w:val="en-US" w:eastAsia="zh-CN"/>
              </w:rPr>
              <w:t>606</w:t>
            </w:r>
            <w:r>
              <w:rPr>
                <w:rFonts w:hint="eastAsia"/>
                <w:color w:val="auto"/>
              </w:rPr>
              <w:t>m³/d</w:t>
            </w:r>
            <w:r>
              <w:rPr>
                <w:rFonts w:hint="eastAsia"/>
                <w:color w:val="auto"/>
                <w:lang w:eastAsia="zh-CN"/>
              </w:rPr>
              <w:t>，本项目的取水量相对八一水库总库容较小，且本水厂仅作为西江镇的补充水源，当西江</w:t>
            </w:r>
            <w:r>
              <w:rPr>
                <w:rFonts w:hint="eastAsia"/>
                <w:color w:val="auto"/>
              </w:rPr>
              <w:t>镇区原有水源供应不上或断供时，</w:t>
            </w:r>
            <w:r>
              <w:rPr>
                <w:rFonts w:hint="eastAsia"/>
                <w:color w:val="auto"/>
                <w:lang w:eastAsia="zh-CN"/>
              </w:rPr>
              <w:t>方才</w:t>
            </w:r>
            <w:r>
              <w:rPr>
                <w:rFonts w:hint="eastAsia"/>
                <w:color w:val="auto"/>
              </w:rPr>
              <w:t>启用本水源</w:t>
            </w:r>
            <w:r>
              <w:rPr>
                <w:rFonts w:hint="eastAsia"/>
                <w:color w:val="auto"/>
                <w:lang w:eastAsia="zh-CN"/>
              </w:rPr>
              <w:t>。</w:t>
            </w:r>
          </w:p>
          <w:p>
            <w:pPr>
              <w:ind w:firstLine="480"/>
              <w:rPr>
                <w:color w:val="auto"/>
              </w:rPr>
            </w:pPr>
            <w:r>
              <w:rPr>
                <w:rFonts w:hint="eastAsia"/>
                <w:color w:val="auto"/>
              </w:rPr>
              <w:t>因此，</w:t>
            </w:r>
            <w:r>
              <w:rPr>
                <w:rFonts w:hint="eastAsia"/>
                <w:color w:val="auto"/>
                <w:lang w:eastAsia="zh-CN"/>
              </w:rPr>
              <w:t>八一</w:t>
            </w:r>
            <w:r>
              <w:rPr>
                <w:rFonts w:hint="eastAsia"/>
                <w:color w:val="auto"/>
              </w:rPr>
              <w:t>水库的库容能满足取水规模的需求，取水对</w:t>
            </w:r>
            <w:r>
              <w:rPr>
                <w:rFonts w:hint="eastAsia"/>
                <w:color w:val="auto"/>
                <w:lang w:eastAsia="zh-CN"/>
              </w:rPr>
              <w:t>八一</w:t>
            </w:r>
            <w:r>
              <w:rPr>
                <w:rFonts w:hint="eastAsia"/>
                <w:color w:val="auto"/>
              </w:rPr>
              <w:t>水库的影响较小。</w:t>
            </w:r>
          </w:p>
          <w:p>
            <w:pPr>
              <w:pStyle w:val="55"/>
              <w:ind w:firstLine="482"/>
              <w:rPr>
                <w:color w:val="auto"/>
              </w:rPr>
            </w:pPr>
            <w:r>
              <w:rPr>
                <w:rFonts w:hint="eastAsia"/>
                <w:color w:val="auto"/>
              </w:rPr>
              <w:t>5.总量控制指标分析结论</w:t>
            </w:r>
          </w:p>
          <w:p>
            <w:pPr>
              <w:pStyle w:val="55"/>
              <w:ind w:firstLine="480"/>
              <w:rPr>
                <w:b w:val="0"/>
                <w:color w:val="auto"/>
              </w:rPr>
            </w:pPr>
            <w:r>
              <w:rPr>
                <w:rFonts w:hint="eastAsia"/>
                <w:b w:val="0"/>
                <w:color w:val="auto"/>
              </w:rPr>
              <w:t>本工程非生产性建设工程，无须申请总量控制指标。</w:t>
            </w:r>
          </w:p>
          <w:p>
            <w:pPr>
              <w:pStyle w:val="55"/>
              <w:ind w:firstLine="482"/>
              <w:rPr>
                <w:color w:val="auto"/>
              </w:rPr>
            </w:pPr>
            <w:r>
              <w:rPr>
                <w:rFonts w:hint="eastAsia"/>
                <w:color w:val="auto"/>
              </w:rPr>
              <w:t>6、建议</w:t>
            </w:r>
          </w:p>
          <w:p>
            <w:pPr>
              <w:ind w:firstLine="480"/>
              <w:rPr>
                <w:color w:val="auto"/>
              </w:rPr>
            </w:pPr>
            <w:r>
              <w:rPr>
                <w:rFonts w:hint="eastAsia"/>
                <w:color w:val="auto"/>
              </w:rPr>
              <w:t>（1）工程实施后必须落实环保“三同时”制度；</w:t>
            </w:r>
          </w:p>
          <w:p>
            <w:pPr>
              <w:ind w:firstLine="480"/>
              <w:rPr>
                <w:color w:val="auto"/>
              </w:rPr>
            </w:pPr>
            <w:r>
              <w:rPr>
                <w:rFonts w:hint="eastAsia"/>
                <w:color w:val="auto"/>
              </w:rPr>
              <w:t>（2）认真做好“三废”排放处理工作，不得乱排乱放，不得随意倾倒和焚烧垃圾；出现污染事故及时报告当地环保部门，并妥善处理；</w:t>
            </w:r>
          </w:p>
          <w:p>
            <w:pPr>
              <w:ind w:firstLine="480"/>
              <w:rPr>
                <w:color w:val="auto"/>
              </w:rPr>
            </w:pPr>
            <w:r>
              <w:rPr>
                <w:rFonts w:hint="eastAsia"/>
                <w:color w:val="auto"/>
              </w:rPr>
              <w:t>（3）节约资源，提高工程效益的同时，做到节能环保；</w:t>
            </w:r>
          </w:p>
          <w:p>
            <w:pPr>
              <w:ind w:firstLine="480"/>
              <w:rPr>
                <w:color w:val="auto"/>
              </w:rPr>
            </w:pPr>
            <w:r>
              <w:rPr>
                <w:rFonts w:hint="eastAsia"/>
                <w:color w:val="auto"/>
              </w:rPr>
              <w:t>（4）管渠材质、管渠构造、管渠基础、管道接口，应根据排水水质、水温情况、断面尺寸、管内外所受压力、土质、地下水位、地下水侵蚀性、施工条件及对养护工具的适应性等因素进行选择和设计。</w:t>
            </w:r>
          </w:p>
          <w:p>
            <w:pPr>
              <w:ind w:firstLine="480"/>
              <w:rPr>
                <w:color w:val="auto"/>
              </w:rPr>
            </w:pPr>
            <w:r>
              <w:rPr>
                <w:rFonts w:hint="eastAsia"/>
                <w:color w:val="auto"/>
              </w:rPr>
              <w:t>（5）加强施工期的环境管理施工期间做好水土保持和植被保护工作，防止施工期间产生的废水、垃圾、噪声和粉尘对周围环境产生影响，使施工期对周围环境的影响降至</w:t>
            </w:r>
            <w:r>
              <w:rPr>
                <w:color w:val="auto"/>
              </w:rPr>
              <w:t>最低。</w:t>
            </w:r>
          </w:p>
          <w:p>
            <w:pPr>
              <w:ind w:firstLine="480"/>
              <w:rPr>
                <w:color w:val="auto"/>
              </w:rPr>
            </w:pPr>
            <w:r>
              <w:rPr>
                <w:rFonts w:hint="eastAsia"/>
                <w:color w:val="auto"/>
              </w:rPr>
              <w:t>（</w:t>
            </w:r>
            <w:r>
              <w:rPr>
                <w:color w:val="auto"/>
              </w:rPr>
              <w:t>6</w:t>
            </w:r>
            <w:r>
              <w:rPr>
                <w:rFonts w:hint="eastAsia"/>
                <w:color w:val="auto"/>
              </w:rPr>
              <w:t>）今后若扩大规模或工程建设，必须重新进行环境影响评价，并征得环保部门审批同意后方可实施。</w:t>
            </w:r>
          </w:p>
          <w:p>
            <w:pPr>
              <w:pStyle w:val="55"/>
              <w:ind w:firstLine="482"/>
              <w:rPr>
                <w:color w:val="auto"/>
              </w:rPr>
            </w:pPr>
            <w:r>
              <w:rPr>
                <w:rFonts w:hint="eastAsia"/>
                <w:color w:val="auto"/>
              </w:rPr>
              <w:t>7、综合结论</w:t>
            </w:r>
          </w:p>
          <w:p>
            <w:pPr>
              <w:ind w:firstLine="480"/>
              <w:rPr>
                <w:color w:val="auto"/>
              </w:rPr>
            </w:pPr>
            <w:r>
              <w:rPr>
                <w:rFonts w:hint="eastAsia"/>
                <w:bCs/>
                <w:color w:val="auto"/>
              </w:rPr>
              <w:t>根据上述分析，</w:t>
            </w:r>
            <w:r>
              <w:rPr>
                <w:rFonts w:hint="eastAsia"/>
                <w:color w:val="auto"/>
              </w:rPr>
              <w:t>连州市镇（乡）镇区自来水厂改造及水源地保护工程（一期）</w:t>
            </w:r>
            <w:r>
              <w:rPr>
                <w:rFonts w:hint="eastAsia"/>
                <w:color w:val="auto"/>
                <w:lang w:eastAsia="zh-CN"/>
              </w:rPr>
              <w:t>连州市西江镇区供水工程建设项目</w:t>
            </w:r>
            <w:r>
              <w:rPr>
                <w:rFonts w:hint="eastAsia"/>
                <w:bCs/>
                <w:color w:val="auto"/>
              </w:rPr>
              <w:t>符合国家和地方环保要求，</w:t>
            </w:r>
            <w:r>
              <w:rPr>
                <w:bCs/>
                <w:color w:val="auto"/>
              </w:rPr>
              <w:t>有利于当地的经济发展，有一定的经济效益和社会效益。产生的各种污染物经相应措施处理后能做到达标排放，产生的污染物对当地的环境影响不大。</w:t>
            </w:r>
            <w:r>
              <w:rPr>
                <w:color w:val="auto"/>
              </w:rPr>
              <w:t>只要在本工程的建设中认真执行环保“三同时”，落实本环评中提出的各污染防治措施，从环保角度考虑，建设工程</w:t>
            </w:r>
            <w:r>
              <w:rPr>
                <w:rFonts w:hint="eastAsia"/>
                <w:color w:val="auto"/>
              </w:rPr>
              <w:t>的建设是</w:t>
            </w:r>
            <w:r>
              <w:rPr>
                <w:color w:val="auto"/>
              </w:rPr>
              <w:t>可行的。</w:t>
            </w:r>
          </w:p>
          <w:p>
            <w:pPr>
              <w:ind w:firstLine="480"/>
              <w:rPr>
                <w:color w:val="auto"/>
              </w:rPr>
            </w:pPr>
          </w:p>
          <w:p>
            <w:pPr>
              <w:pStyle w:val="2"/>
              <w:rPr>
                <w:color w:val="auto"/>
              </w:rPr>
            </w:pPr>
          </w:p>
          <w:p>
            <w:pPr>
              <w:pStyle w:val="2"/>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spacing w:before="240" w:beforeLines="100"/>
              <w:ind w:firstLine="562"/>
              <w:rPr>
                <w:b/>
                <w:color w:val="auto"/>
                <w:sz w:val="28"/>
              </w:rPr>
            </w:pPr>
            <w:r>
              <w:rPr>
                <w:b/>
                <w:color w:val="auto"/>
                <w:sz w:val="28"/>
              </w:rPr>
              <w:t>预审意见：</w:t>
            </w:r>
          </w:p>
          <w:p>
            <w:pPr>
              <w:spacing w:before="240" w:beforeLines="100"/>
              <w:ind w:firstLine="562"/>
              <w:rPr>
                <w:b/>
                <w:color w:val="auto"/>
                <w:sz w:val="28"/>
              </w:rPr>
            </w:pPr>
          </w:p>
          <w:p>
            <w:pPr>
              <w:spacing w:before="240" w:beforeLines="100"/>
              <w:ind w:firstLine="562"/>
              <w:rPr>
                <w:b/>
                <w:color w:val="auto"/>
                <w:sz w:val="28"/>
              </w:rPr>
            </w:pPr>
          </w:p>
          <w:p>
            <w:pPr>
              <w:spacing w:before="240" w:beforeLines="100"/>
              <w:ind w:firstLine="562"/>
              <w:rPr>
                <w:b/>
                <w:color w:val="auto"/>
                <w:sz w:val="28"/>
              </w:rPr>
            </w:pPr>
          </w:p>
          <w:p>
            <w:pPr>
              <w:spacing w:before="240" w:beforeLines="100"/>
              <w:ind w:firstLine="562"/>
              <w:rPr>
                <w:b/>
                <w:color w:val="auto"/>
                <w:sz w:val="28"/>
              </w:rPr>
            </w:pPr>
          </w:p>
          <w:p>
            <w:pPr>
              <w:ind w:firstLine="562"/>
              <w:rPr>
                <w:b/>
                <w:color w:val="auto"/>
                <w:sz w:val="28"/>
              </w:rPr>
            </w:pPr>
          </w:p>
          <w:p>
            <w:pPr>
              <w:ind w:firstLine="562"/>
              <w:rPr>
                <w:b/>
                <w:color w:val="auto"/>
                <w:sz w:val="28"/>
              </w:rPr>
            </w:pPr>
          </w:p>
          <w:p>
            <w:pPr>
              <w:spacing w:before="240" w:beforeLines="100"/>
              <w:ind w:firstLine="562"/>
              <w:rPr>
                <w:b/>
                <w:color w:val="auto"/>
                <w:sz w:val="28"/>
              </w:rPr>
            </w:pPr>
          </w:p>
          <w:p>
            <w:pPr>
              <w:spacing w:before="240" w:beforeLines="100"/>
              <w:ind w:firstLine="562"/>
              <w:rPr>
                <w:b/>
                <w:color w:val="auto"/>
                <w:sz w:val="28"/>
              </w:rPr>
            </w:pPr>
          </w:p>
          <w:p>
            <w:pPr>
              <w:spacing w:before="240" w:beforeLines="100"/>
              <w:ind w:firstLine="562"/>
              <w:rPr>
                <w:b/>
                <w:color w:val="auto"/>
                <w:sz w:val="28"/>
              </w:rPr>
            </w:pPr>
            <w:r>
              <w:rPr>
                <w:b/>
                <w:color w:val="auto"/>
                <w:sz w:val="28"/>
              </w:rPr>
              <w:t xml:space="preserve">                                                公 章   </w:t>
            </w:r>
          </w:p>
          <w:p>
            <w:pPr>
              <w:spacing w:before="240" w:beforeLines="100"/>
              <w:ind w:firstLine="422" w:firstLineChars="150"/>
              <w:rPr>
                <w:color w:val="auto"/>
                <w:szCs w:val="24"/>
              </w:rPr>
            </w:pPr>
            <w:r>
              <w:rPr>
                <w:b/>
                <w:color w:val="auto"/>
                <w:sz w:val="28"/>
              </w:rPr>
              <w:t>经办人：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spacing w:before="240" w:beforeLines="100"/>
              <w:ind w:firstLine="562"/>
              <w:rPr>
                <w:b/>
                <w:color w:val="auto"/>
                <w:sz w:val="28"/>
              </w:rPr>
            </w:pPr>
            <w:r>
              <w:rPr>
                <w:b/>
                <w:color w:val="auto"/>
                <w:sz w:val="28"/>
              </w:rPr>
              <w:t>下一级环境保护行政主管部门审查意见：</w:t>
            </w:r>
          </w:p>
          <w:p>
            <w:pPr>
              <w:spacing w:before="240" w:beforeLines="100"/>
              <w:ind w:firstLine="562"/>
              <w:rPr>
                <w:b/>
                <w:color w:val="auto"/>
                <w:sz w:val="28"/>
              </w:rPr>
            </w:pPr>
          </w:p>
          <w:p>
            <w:pPr>
              <w:spacing w:before="240" w:beforeLines="100"/>
              <w:ind w:firstLine="562"/>
              <w:rPr>
                <w:b/>
                <w:color w:val="auto"/>
                <w:sz w:val="28"/>
              </w:rPr>
            </w:pPr>
          </w:p>
          <w:p>
            <w:pPr>
              <w:ind w:firstLine="562"/>
              <w:rPr>
                <w:b/>
                <w:color w:val="auto"/>
                <w:sz w:val="28"/>
              </w:rPr>
            </w:pPr>
          </w:p>
          <w:p>
            <w:pPr>
              <w:ind w:firstLine="562"/>
              <w:rPr>
                <w:b/>
                <w:color w:val="auto"/>
                <w:sz w:val="28"/>
              </w:rPr>
            </w:pPr>
          </w:p>
          <w:p>
            <w:pPr>
              <w:ind w:firstLine="562"/>
              <w:rPr>
                <w:b/>
                <w:color w:val="auto"/>
                <w:sz w:val="28"/>
              </w:rPr>
            </w:pPr>
          </w:p>
          <w:p>
            <w:pPr>
              <w:ind w:firstLine="562"/>
              <w:rPr>
                <w:b/>
                <w:color w:val="auto"/>
                <w:sz w:val="28"/>
              </w:rPr>
            </w:pPr>
          </w:p>
          <w:p>
            <w:pPr>
              <w:ind w:firstLine="562"/>
              <w:rPr>
                <w:b/>
                <w:color w:val="auto"/>
                <w:sz w:val="28"/>
              </w:rPr>
            </w:pPr>
          </w:p>
          <w:p>
            <w:pPr>
              <w:spacing w:before="240" w:beforeLines="100"/>
              <w:ind w:firstLine="6406" w:firstLineChars="2279"/>
              <w:rPr>
                <w:b/>
                <w:color w:val="auto"/>
                <w:sz w:val="28"/>
              </w:rPr>
            </w:pPr>
            <w:r>
              <w:rPr>
                <w:b/>
                <w:color w:val="auto"/>
                <w:sz w:val="28"/>
              </w:rPr>
              <w:t xml:space="preserve">公 章  </w:t>
            </w:r>
          </w:p>
          <w:p>
            <w:pPr>
              <w:spacing w:before="240" w:beforeLines="100"/>
              <w:ind w:firstLine="562"/>
              <w:rPr>
                <w:color w:val="auto"/>
                <w:szCs w:val="24"/>
              </w:rPr>
            </w:pPr>
            <w:r>
              <w:rPr>
                <w:b/>
                <w:color w:val="auto"/>
                <w:sz w:val="28"/>
              </w:rPr>
              <w:t>经办人：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ind w:firstLine="482"/>
              <w:rPr>
                <w:b/>
                <w:color w:val="auto"/>
              </w:rPr>
            </w:pPr>
            <w:r>
              <w:rPr>
                <w:b/>
                <w:color w:val="auto"/>
              </w:rPr>
              <w:t>审批意见：</w:t>
            </w: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pStyle w:val="57"/>
              <w:rPr>
                <w:color w:val="auto"/>
              </w:rPr>
            </w:pPr>
          </w:p>
        </w:tc>
      </w:tr>
    </w:tbl>
    <w:p>
      <w:pPr>
        <w:pStyle w:val="57"/>
        <w:rPr>
          <w:color w:val="auto"/>
        </w:rPr>
      </w:pPr>
    </w:p>
    <w:tbl>
      <w:tblPr>
        <w:tblStyle w:val="39"/>
        <w:tblW w:w="869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6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8697" w:type="dxa"/>
          </w:tcPr>
          <w:p>
            <w:pPr>
              <w:pStyle w:val="55"/>
              <w:topLinePunct/>
              <w:ind w:firstLine="0" w:firstLineChars="0"/>
              <w:jc w:val="center"/>
              <w:rPr>
                <w:color w:val="auto"/>
              </w:rPr>
            </w:pPr>
            <w:r>
              <w:rPr>
                <w:color w:val="auto"/>
              </w:rPr>
              <w:t>附录</w:t>
            </w:r>
          </w:p>
          <w:p>
            <w:pPr>
              <w:ind w:firstLine="480"/>
              <w:rPr>
                <w:b/>
                <w:bCs/>
                <w:color w:val="auto"/>
                <w:sz w:val="28"/>
                <w:szCs w:val="28"/>
              </w:rPr>
            </w:pPr>
            <w:r>
              <w:rPr>
                <w:rFonts w:hint="eastAsia"/>
                <w:color w:val="auto"/>
              </w:rPr>
              <w:t>一、本报告表应附以下附件、附图：</w:t>
            </w:r>
          </w:p>
          <w:p>
            <w:pPr>
              <w:ind w:firstLine="480"/>
              <w:rPr>
                <w:color w:val="auto"/>
              </w:rPr>
            </w:pPr>
          </w:p>
          <w:p>
            <w:pPr>
              <w:topLinePunct/>
              <w:ind w:firstLine="480"/>
              <w:rPr>
                <w:color w:val="auto"/>
              </w:rPr>
            </w:pPr>
            <w:r>
              <w:rPr>
                <w:rFonts w:hint="eastAsia"/>
                <w:color w:val="auto"/>
              </w:rPr>
              <w:t>附图1：地理位置示意图</w:t>
            </w:r>
          </w:p>
          <w:p>
            <w:pPr>
              <w:topLinePunct/>
              <w:ind w:firstLine="480"/>
              <w:rPr>
                <w:color w:val="auto"/>
              </w:rPr>
            </w:pPr>
            <w:r>
              <w:rPr>
                <w:rFonts w:hint="eastAsia"/>
                <w:color w:val="auto"/>
              </w:rPr>
              <w:t>附图2：施工平面图</w:t>
            </w:r>
          </w:p>
          <w:p>
            <w:pPr>
              <w:topLinePunct/>
              <w:ind w:firstLine="480"/>
              <w:rPr>
                <w:color w:val="auto"/>
              </w:rPr>
            </w:pPr>
            <w:r>
              <w:rPr>
                <w:rFonts w:hint="eastAsia"/>
                <w:color w:val="auto"/>
              </w:rPr>
              <w:t>附图3：水厂平面布置图</w:t>
            </w:r>
          </w:p>
          <w:p>
            <w:pPr>
              <w:topLinePunct/>
              <w:ind w:firstLine="480"/>
              <w:rPr>
                <w:color w:val="auto"/>
              </w:rPr>
            </w:pPr>
            <w:r>
              <w:rPr>
                <w:rFonts w:hint="eastAsia"/>
                <w:color w:val="auto"/>
              </w:rPr>
              <w:t>附图4：总工程平面图（含输水路线）</w:t>
            </w:r>
          </w:p>
          <w:p>
            <w:pPr>
              <w:topLinePunct/>
              <w:ind w:firstLine="480"/>
              <w:rPr>
                <w:color w:val="auto"/>
              </w:rPr>
            </w:pPr>
            <w:r>
              <w:rPr>
                <w:rFonts w:hint="eastAsia"/>
                <w:color w:val="auto"/>
              </w:rPr>
              <w:t>附图5：本工程水环境功能区划图</w:t>
            </w:r>
          </w:p>
          <w:p>
            <w:pPr>
              <w:topLinePunct/>
              <w:ind w:firstLine="480"/>
              <w:rPr>
                <w:rFonts w:hint="eastAsia"/>
                <w:color w:val="auto"/>
                <w:szCs w:val="22"/>
              </w:rPr>
            </w:pPr>
            <w:r>
              <w:rPr>
                <w:rFonts w:hint="eastAsia"/>
                <w:color w:val="auto"/>
              </w:rPr>
              <w:t>附图6：连州市大气环境功能区划图</w:t>
            </w:r>
          </w:p>
          <w:p>
            <w:pPr>
              <w:topLinePunct/>
              <w:ind w:firstLine="480"/>
              <w:rPr>
                <w:rFonts w:hint="eastAsia"/>
                <w:color w:val="auto"/>
                <w:szCs w:val="22"/>
              </w:rPr>
            </w:pPr>
            <w:r>
              <w:rPr>
                <w:rFonts w:hint="eastAsia"/>
                <w:color w:val="auto"/>
                <w:szCs w:val="22"/>
              </w:rPr>
              <w:t>附图7：生态严控区功能区划图</w:t>
            </w:r>
          </w:p>
          <w:p>
            <w:pPr>
              <w:topLinePunct/>
              <w:ind w:firstLine="480"/>
              <w:rPr>
                <w:rFonts w:hint="eastAsia" w:eastAsia="宋体"/>
                <w:color w:val="auto"/>
                <w:szCs w:val="22"/>
                <w:lang w:val="en-US" w:eastAsia="zh-CN"/>
              </w:rPr>
            </w:pPr>
            <w:r>
              <w:rPr>
                <w:rFonts w:hint="eastAsia"/>
                <w:color w:val="auto"/>
                <w:szCs w:val="22"/>
                <w:lang w:eastAsia="zh-CN"/>
              </w:rPr>
              <w:t>附图</w:t>
            </w:r>
            <w:r>
              <w:rPr>
                <w:rFonts w:hint="eastAsia"/>
                <w:color w:val="auto"/>
                <w:szCs w:val="22"/>
                <w:lang w:val="en-US" w:eastAsia="zh-CN"/>
              </w:rPr>
              <w:t>8：引用西江水监测点位图</w:t>
            </w:r>
          </w:p>
          <w:p>
            <w:pPr>
              <w:topLinePunct/>
              <w:ind w:firstLine="480"/>
              <w:rPr>
                <w:color w:val="auto"/>
              </w:rPr>
            </w:pPr>
            <w:r>
              <w:rPr>
                <w:rFonts w:hint="eastAsia"/>
                <w:color w:val="auto"/>
              </w:rPr>
              <w:t>附图</w:t>
            </w:r>
            <w:r>
              <w:rPr>
                <w:rFonts w:hint="eastAsia"/>
                <w:color w:val="auto"/>
                <w:lang w:val="en-US" w:eastAsia="zh-CN"/>
              </w:rPr>
              <w:t>9</w:t>
            </w:r>
            <w:r>
              <w:rPr>
                <w:rFonts w:hint="eastAsia"/>
                <w:color w:val="auto"/>
              </w:rPr>
              <w:t>：敏感点示意图</w:t>
            </w:r>
          </w:p>
          <w:p>
            <w:pPr>
              <w:topLinePunct/>
              <w:ind w:firstLine="480"/>
              <w:rPr>
                <w:color w:val="auto"/>
              </w:rPr>
            </w:pPr>
            <w:r>
              <w:rPr>
                <w:rFonts w:hint="eastAsia"/>
                <w:color w:val="auto"/>
              </w:rPr>
              <w:t>附图</w:t>
            </w:r>
            <w:r>
              <w:rPr>
                <w:rFonts w:hint="eastAsia"/>
                <w:color w:val="auto"/>
                <w:lang w:val="en-US" w:eastAsia="zh-CN"/>
              </w:rPr>
              <w:t>10</w:t>
            </w:r>
            <w:r>
              <w:rPr>
                <w:rFonts w:hint="eastAsia"/>
                <w:color w:val="auto"/>
              </w:rPr>
              <w:t>：噪声监测点位图</w:t>
            </w:r>
          </w:p>
          <w:p>
            <w:pPr>
              <w:topLinePunct/>
              <w:ind w:firstLine="480"/>
              <w:rPr>
                <w:color w:val="auto"/>
              </w:rPr>
            </w:pPr>
            <w:r>
              <w:rPr>
                <w:rFonts w:hint="eastAsia"/>
                <w:color w:val="auto"/>
              </w:rPr>
              <w:t>附图1</w:t>
            </w:r>
            <w:r>
              <w:rPr>
                <w:rFonts w:hint="eastAsia"/>
                <w:color w:val="auto"/>
                <w:lang w:val="en-US" w:eastAsia="zh-CN"/>
              </w:rPr>
              <w:t>1</w:t>
            </w:r>
            <w:r>
              <w:rPr>
                <w:rFonts w:hint="eastAsia"/>
                <w:color w:val="auto"/>
              </w:rPr>
              <w:t>：项目现状图片</w:t>
            </w:r>
          </w:p>
          <w:p>
            <w:pPr>
              <w:topLinePunct/>
              <w:ind w:firstLine="480"/>
              <w:rPr>
                <w:color w:val="auto"/>
              </w:rPr>
            </w:pPr>
          </w:p>
          <w:p>
            <w:pPr>
              <w:topLinePunct/>
              <w:ind w:firstLine="480"/>
              <w:rPr>
                <w:color w:val="auto"/>
              </w:rPr>
            </w:pPr>
          </w:p>
          <w:p>
            <w:pPr>
              <w:topLinePunct/>
              <w:ind w:firstLine="480"/>
              <w:rPr>
                <w:color w:val="auto"/>
              </w:rPr>
            </w:pPr>
          </w:p>
          <w:p>
            <w:pPr>
              <w:topLinePunct/>
              <w:ind w:firstLine="480"/>
              <w:rPr>
                <w:color w:val="auto"/>
              </w:rPr>
            </w:pPr>
            <w:r>
              <w:rPr>
                <w:rFonts w:hint="eastAsia"/>
                <w:color w:val="auto"/>
              </w:rPr>
              <w:t>附件1：委托书</w:t>
            </w:r>
          </w:p>
          <w:p>
            <w:pPr>
              <w:topLinePunct/>
              <w:ind w:firstLine="480"/>
              <w:rPr>
                <w:color w:val="auto"/>
              </w:rPr>
            </w:pPr>
            <w:r>
              <w:rPr>
                <w:rFonts w:hint="eastAsia"/>
                <w:color w:val="auto"/>
              </w:rPr>
              <w:t>附件2：承诺书</w:t>
            </w:r>
          </w:p>
          <w:p>
            <w:pPr>
              <w:topLinePunct/>
              <w:ind w:firstLine="480"/>
              <w:rPr>
                <w:color w:val="auto"/>
                <w:highlight w:val="none"/>
              </w:rPr>
            </w:pPr>
            <w:r>
              <w:rPr>
                <w:rFonts w:hint="eastAsia"/>
                <w:color w:val="auto"/>
              </w:rPr>
              <w:t>附件3：事业单位法人</w:t>
            </w:r>
            <w:r>
              <w:rPr>
                <w:rFonts w:hint="eastAsia"/>
                <w:color w:val="auto"/>
                <w:highlight w:val="none"/>
              </w:rPr>
              <w:t>证书</w:t>
            </w:r>
          </w:p>
          <w:p>
            <w:pPr>
              <w:topLinePunct/>
              <w:ind w:firstLine="480"/>
              <w:rPr>
                <w:color w:val="auto"/>
                <w:highlight w:val="none"/>
              </w:rPr>
            </w:pPr>
            <w:r>
              <w:rPr>
                <w:rFonts w:hint="eastAsia"/>
                <w:color w:val="auto"/>
                <w:highlight w:val="none"/>
              </w:rPr>
              <w:t>附件4：法人身份证</w:t>
            </w:r>
          </w:p>
          <w:p>
            <w:pPr>
              <w:topLinePunct/>
              <w:ind w:firstLine="480"/>
              <w:rPr>
                <w:color w:val="auto"/>
                <w:highlight w:val="none"/>
              </w:rPr>
            </w:pPr>
            <w:r>
              <w:rPr>
                <w:rFonts w:hint="eastAsia"/>
                <w:color w:val="auto"/>
                <w:highlight w:val="none"/>
              </w:rPr>
              <w:t>附件5：监测报告</w:t>
            </w:r>
          </w:p>
          <w:p>
            <w:pPr>
              <w:ind w:firstLine="480"/>
              <w:rPr>
                <w:color w:val="auto"/>
              </w:rPr>
            </w:pPr>
            <w:r>
              <w:rPr>
                <w:rFonts w:hint="eastAsia"/>
                <w:color w:val="auto"/>
              </w:rPr>
              <w:t>附件6：建设项目基础信息表</w:t>
            </w: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p>
            <w:pPr>
              <w:ind w:firstLine="480"/>
              <w:rPr>
                <w:color w:val="auto"/>
              </w:rPr>
            </w:pPr>
          </w:p>
        </w:tc>
      </w:tr>
    </w:tbl>
    <w:p>
      <w:pPr>
        <w:widowControl/>
        <w:spacing w:line="240" w:lineRule="auto"/>
        <w:ind w:firstLine="0" w:firstLineChars="0"/>
        <w:jc w:val="left"/>
        <w:rPr>
          <w:color w:val="auto"/>
          <w:sz w:val="21"/>
        </w:rPr>
      </w:pPr>
      <w:r>
        <w:rPr>
          <w:color w:val="auto"/>
        </w:rPr>
        <w:br w:type="page"/>
      </w:r>
    </w:p>
    <w:p>
      <w:pPr>
        <w:pStyle w:val="57"/>
        <w:rPr>
          <w:color w:val="auto"/>
        </w:rPr>
      </w:pPr>
      <w:r>
        <w:rPr>
          <w:color w:val="auto"/>
        </w:rPr>
        <w:drawing>
          <wp:inline distT="0" distB="0" distL="114300" distR="114300">
            <wp:extent cx="5554345" cy="7598410"/>
            <wp:effectExtent l="0" t="0" r="8255" b="2540"/>
            <wp:docPr id="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
                    <pic:cNvPicPr>
                      <a:picLocks noChangeAspect="1"/>
                    </pic:cNvPicPr>
                  </pic:nvPicPr>
                  <pic:blipFill>
                    <a:blip r:embed="rId20"/>
                    <a:stretch>
                      <a:fillRect/>
                    </a:stretch>
                  </pic:blipFill>
                  <pic:spPr>
                    <a:xfrm>
                      <a:off x="0" y="0"/>
                      <a:ext cx="5554345" cy="7598410"/>
                    </a:xfrm>
                    <a:prstGeom prst="rect">
                      <a:avLst/>
                    </a:prstGeom>
                    <a:noFill/>
                    <a:ln>
                      <a:noFill/>
                    </a:ln>
                  </pic:spPr>
                </pic:pic>
              </a:graphicData>
            </a:graphic>
          </wp:inline>
        </w:drawing>
      </w:r>
    </w:p>
    <w:p>
      <w:pPr>
        <w:pStyle w:val="36"/>
        <w:topLinePunct/>
        <w:jc w:val="center"/>
        <w:rPr>
          <w:color w:val="auto"/>
          <w:sz w:val="24"/>
          <w:szCs w:val="24"/>
        </w:rPr>
        <w:sectPr>
          <w:pgSz w:w="11906" w:h="16838"/>
          <w:pgMar w:top="1418" w:right="1531" w:bottom="1418" w:left="1531" w:header="851" w:footer="992" w:gutter="0"/>
          <w:pgBorders>
            <w:top w:val="none" w:sz="0" w:space="0"/>
            <w:left w:val="none" w:sz="0" w:space="0"/>
            <w:bottom w:val="none" w:sz="0" w:space="0"/>
            <w:right w:val="none" w:sz="0" w:space="0"/>
          </w:pgBorders>
          <w:cols w:space="0" w:num="1"/>
          <w:docGrid w:linePitch="312" w:charSpace="0"/>
        </w:sectPr>
      </w:pPr>
      <w:r>
        <w:rPr>
          <w:color w:val="auto"/>
          <w:sz w:val="24"/>
          <w:szCs w:val="24"/>
        </w:rPr>
        <w:t>附图1</w:t>
      </w:r>
      <w:r>
        <w:rPr>
          <w:rFonts w:hint="eastAsia"/>
          <w:color w:val="auto"/>
          <w:sz w:val="24"/>
          <w:szCs w:val="24"/>
        </w:rPr>
        <w:t xml:space="preserve">  </w:t>
      </w:r>
      <w:r>
        <w:rPr>
          <w:color w:val="auto"/>
          <w:sz w:val="24"/>
          <w:szCs w:val="24"/>
        </w:rPr>
        <w:t>地理位置示意图</w:t>
      </w:r>
    </w:p>
    <w:p>
      <w:pPr>
        <w:pStyle w:val="57"/>
        <w:rPr>
          <w:color w:val="auto"/>
        </w:rPr>
      </w:pPr>
      <w:r>
        <w:rPr>
          <w:color w:val="auto"/>
        </w:rPr>
        <w:drawing>
          <wp:inline distT="0" distB="0" distL="114300" distR="114300">
            <wp:extent cx="4909820" cy="5207000"/>
            <wp:effectExtent l="0" t="0" r="5080" b="1270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21"/>
                    <a:stretch>
                      <a:fillRect/>
                    </a:stretch>
                  </pic:blipFill>
                  <pic:spPr>
                    <a:xfrm>
                      <a:off x="0" y="0"/>
                      <a:ext cx="4909820" cy="5207000"/>
                    </a:xfrm>
                    <a:prstGeom prst="rect">
                      <a:avLst/>
                    </a:prstGeom>
                    <a:noFill/>
                    <a:ln>
                      <a:noFill/>
                    </a:ln>
                  </pic:spPr>
                </pic:pic>
              </a:graphicData>
            </a:graphic>
          </wp:inline>
        </w:drawing>
      </w:r>
    </w:p>
    <w:p>
      <w:pPr>
        <w:pStyle w:val="36"/>
        <w:topLinePunct/>
        <w:jc w:val="center"/>
        <w:rPr>
          <w:color w:val="auto"/>
          <w:sz w:val="24"/>
          <w:szCs w:val="24"/>
        </w:rPr>
      </w:pPr>
      <w:r>
        <w:rPr>
          <w:rFonts w:hint="eastAsia"/>
          <w:color w:val="auto"/>
          <w:sz w:val="24"/>
          <w:szCs w:val="24"/>
        </w:rPr>
        <w:t>附图2：施工平面图</w:t>
      </w:r>
      <w:r>
        <w:rPr>
          <w:color w:val="auto"/>
          <w:sz w:val="24"/>
          <w:szCs w:val="24"/>
        </w:rPr>
        <w:br w:type="page"/>
      </w:r>
    </w:p>
    <w:p>
      <w:pPr>
        <w:pStyle w:val="57"/>
        <w:rPr>
          <w:color w:val="auto"/>
        </w:rPr>
      </w:pPr>
      <w:r>
        <w:rPr>
          <w:color w:val="auto"/>
        </w:rPr>
        <w:drawing>
          <wp:inline distT="0" distB="0" distL="114300" distR="114300">
            <wp:extent cx="8889365" cy="4683760"/>
            <wp:effectExtent l="0" t="0" r="6985" b="2540"/>
            <wp:docPr id="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pic:cNvPicPr>
                      <a:picLocks noChangeAspect="1"/>
                    </pic:cNvPicPr>
                  </pic:nvPicPr>
                  <pic:blipFill>
                    <a:blip r:embed="rId22"/>
                    <a:stretch>
                      <a:fillRect/>
                    </a:stretch>
                  </pic:blipFill>
                  <pic:spPr>
                    <a:xfrm>
                      <a:off x="0" y="0"/>
                      <a:ext cx="8889365" cy="4683760"/>
                    </a:xfrm>
                    <a:prstGeom prst="rect">
                      <a:avLst/>
                    </a:prstGeom>
                    <a:noFill/>
                    <a:ln>
                      <a:noFill/>
                    </a:ln>
                  </pic:spPr>
                </pic:pic>
              </a:graphicData>
            </a:graphic>
          </wp:inline>
        </w:drawing>
      </w:r>
    </w:p>
    <w:p>
      <w:pPr>
        <w:pStyle w:val="36"/>
        <w:topLinePunct/>
        <w:jc w:val="center"/>
        <w:rPr>
          <w:rFonts w:hint="eastAsia"/>
          <w:color w:val="auto"/>
          <w:sz w:val="24"/>
          <w:szCs w:val="24"/>
        </w:rPr>
        <w:sectPr>
          <w:pgSz w:w="16838" w:h="11906" w:orient="landscape"/>
          <w:pgMar w:top="1531" w:right="1418" w:bottom="1531" w:left="1418" w:header="851" w:footer="992" w:gutter="0"/>
          <w:pgBorders>
            <w:top w:val="none" w:sz="0" w:space="0"/>
            <w:left w:val="none" w:sz="0" w:space="0"/>
            <w:bottom w:val="none" w:sz="0" w:space="0"/>
            <w:right w:val="none" w:sz="0" w:space="0"/>
          </w:pgBorders>
          <w:cols w:space="0" w:num="1"/>
          <w:docGrid w:linePitch="312" w:charSpace="0"/>
        </w:sectPr>
      </w:pPr>
      <w:r>
        <w:rPr>
          <w:rFonts w:hint="eastAsia"/>
          <w:color w:val="auto"/>
          <w:sz w:val="24"/>
          <w:szCs w:val="24"/>
        </w:rPr>
        <w:t>附图3：水厂平面布置图</w:t>
      </w:r>
    </w:p>
    <w:p>
      <w:pPr>
        <w:ind w:firstLine="0" w:firstLineChars="0"/>
        <w:jc w:val="center"/>
        <w:rPr>
          <w:color w:val="auto"/>
        </w:rPr>
      </w:pPr>
      <w:r>
        <w:rPr>
          <w:color w:val="auto"/>
        </w:rPr>
        <w:object>
          <v:shape id="_x0000_i1029" o:spt="75" type="#_x0000_t75" style="height:528.05pt;width:441.7pt;" o:ole="t" filled="f" o:preferrelative="t" stroked="f" coordsize="21600,21600">
            <v:path/>
            <v:fill on="f" focussize="0,0"/>
            <v:stroke on="f"/>
            <v:imagedata r:id="rId24" o:title=""/>
            <o:lock v:ext="edit" aspectratio="f"/>
            <w10:wrap type="none"/>
            <w10:anchorlock/>
          </v:shape>
          <o:OLEObject Type="Embed" ProgID="Visio.Drawing.15" ShapeID="_x0000_i1029" DrawAspect="Content" ObjectID="_1468075728" r:id="rId23">
            <o:LockedField>false</o:LockedField>
          </o:OLEObject>
        </w:object>
      </w:r>
    </w:p>
    <w:p>
      <w:pPr>
        <w:pStyle w:val="36"/>
        <w:topLinePunct/>
        <w:jc w:val="center"/>
        <w:rPr>
          <w:rFonts w:hint="eastAsia"/>
          <w:color w:val="auto"/>
          <w:sz w:val="24"/>
          <w:szCs w:val="24"/>
        </w:rPr>
        <w:sectPr>
          <w:pgSz w:w="11906" w:h="16838"/>
          <w:pgMar w:top="1418" w:right="1531" w:bottom="1418" w:left="1531" w:header="851" w:footer="992" w:gutter="0"/>
          <w:pgBorders>
            <w:top w:val="none" w:sz="0" w:space="0"/>
            <w:left w:val="none" w:sz="0" w:space="0"/>
            <w:bottom w:val="none" w:sz="0" w:space="0"/>
            <w:right w:val="none" w:sz="0" w:space="0"/>
          </w:pgBorders>
          <w:cols w:space="0" w:num="1"/>
          <w:docGrid w:linePitch="312" w:charSpace="0"/>
        </w:sectPr>
      </w:pPr>
      <w:r>
        <w:rPr>
          <w:rFonts w:hint="eastAsia"/>
          <w:color w:val="auto"/>
          <w:sz w:val="24"/>
          <w:szCs w:val="24"/>
        </w:rPr>
        <w:t>附图4</w:t>
      </w:r>
      <w:r>
        <w:rPr>
          <w:rFonts w:hint="eastAsia"/>
          <w:color w:val="auto"/>
          <w:sz w:val="24"/>
          <w:szCs w:val="24"/>
          <w:lang w:val="en-US" w:eastAsia="zh-CN"/>
        </w:rPr>
        <w:t>-1</w:t>
      </w:r>
      <w:r>
        <w:rPr>
          <w:rFonts w:hint="eastAsia"/>
          <w:color w:val="auto"/>
          <w:sz w:val="24"/>
          <w:szCs w:val="24"/>
        </w:rPr>
        <w:t>：总工程平面图（</w:t>
      </w:r>
      <w:r>
        <w:rPr>
          <w:rFonts w:hint="eastAsia"/>
          <w:color w:val="auto"/>
          <w:sz w:val="24"/>
          <w:szCs w:val="24"/>
          <w:lang w:eastAsia="zh-CN"/>
        </w:rPr>
        <w:t>管网内容豁免评价</w:t>
      </w:r>
      <w:r>
        <w:rPr>
          <w:rFonts w:hint="eastAsia"/>
          <w:color w:val="auto"/>
          <w:sz w:val="24"/>
          <w:szCs w:val="24"/>
        </w:rPr>
        <w:t>）</w:t>
      </w:r>
    </w:p>
    <w:p>
      <w:pPr>
        <w:topLinePunct w:val="0"/>
        <w:ind w:firstLine="0" w:firstLineChars="0"/>
        <w:jc w:val="center"/>
        <w:rPr>
          <w:color w:val="auto"/>
        </w:rPr>
      </w:pPr>
      <w:r>
        <w:rPr>
          <w:color w:val="auto"/>
        </w:rPr>
        <w:drawing>
          <wp:inline distT="0" distB="0" distL="114300" distR="114300">
            <wp:extent cx="7216140" cy="5111115"/>
            <wp:effectExtent l="0" t="0" r="3810" b="13335"/>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pic:cNvPicPr>
                      <a:picLocks noChangeAspect="1"/>
                    </pic:cNvPicPr>
                  </pic:nvPicPr>
                  <pic:blipFill>
                    <a:blip r:embed="rId25"/>
                    <a:stretch>
                      <a:fillRect/>
                    </a:stretch>
                  </pic:blipFill>
                  <pic:spPr>
                    <a:xfrm>
                      <a:off x="0" y="0"/>
                      <a:ext cx="7216140" cy="5111115"/>
                    </a:xfrm>
                    <a:prstGeom prst="rect">
                      <a:avLst/>
                    </a:prstGeom>
                    <a:noFill/>
                    <a:ln>
                      <a:noFill/>
                    </a:ln>
                  </pic:spPr>
                </pic:pic>
              </a:graphicData>
            </a:graphic>
          </wp:inline>
        </w:drawing>
      </w:r>
    </w:p>
    <w:p>
      <w:pPr>
        <w:pStyle w:val="36"/>
        <w:topLinePunct/>
        <w:jc w:val="center"/>
        <w:rPr>
          <w:color w:val="auto"/>
        </w:rPr>
      </w:pPr>
      <w:r>
        <w:rPr>
          <w:rFonts w:hint="eastAsia"/>
          <w:color w:val="auto"/>
          <w:sz w:val="24"/>
          <w:szCs w:val="24"/>
        </w:rPr>
        <w:t>附图4</w:t>
      </w:r>
      <w:r>
        <w:rPr>
          <w:rFonts w:hint="eastAsia"/>
          <w:color w:val="auto"/>
          <w:sz w:val="24"/>
          <w:szCs w:val="24"/>
          <w:lang w:val="en-US" w:eastAsia="zh-CN"/>
        </w:rPr>
        <w:t>-2：西江镇区管网</w:t>
      </w:r>
      <w:r>
        <w:rPr>
          <w:rFonts w:hint="eastAsia"/>
          <w:color w:val="auto"/>
          <w:sz w:val="24"/>
          <w:szCs w:val="24"/>
        </w:rPr>
        <w:t>平面图</w:t>
      </w:r>
    </w:p>
    <w:p>
      <w:pPr>
        <w:topLinePunct w:val="0"/>
        <w:ind w:firstLine="0" w:firstLineChars="0"/>
        <w:rPr>
          <w:color w:val="auto"/>
        </w:rPr>
      </w:pPr>
      <w:r>
        <w:rPr>
          <w:rFonts w:hint="eastAsia"/>
          <w:color w:val="auto"/>
          <w:lang w:val="en-US" w:eastAsia="zh-CN"/>
        </w:rPr>
        <w:t xml:space="preserve">                       </w:t>
      </w:r>
      <w:r>
        <w:rPr>
          <w:color w:val="auto"/>
        </w:rPr>
        <w:drawing>
          <wp:inline distT="0" distB="0" distL="114300" distR="114300">
            <wp:extent cx="5207000" cy="5214620"/>
            <wp:effectExtent l="0" t="0" r="12700" b="508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pic:cNvPicPr>
                      <a:picLocks noChangeAspect="1"/>
                    </pic:cNvPicPr>
                  </pic:nvPicPr>
                  <pic:blipFill>
                    <a:blip r:embed="rId26"/>
                    <a:stretch>
                      <a:fillRect/>
                    </a:stretch>
                  </pic:blipFill>
                  <pic:spPr>
                    <a:xfrm>
                      <a:off x="0" y="0"/>
                      <a:ext cx="5207000" cy="5214620"/>
                    </a:xfrm>
                    <a:prstGeom prst="rect">
                      <a:avLst/>
                    </a:prstGeom>
                    <a:noFill/>
                    <a:ln>
                      <a:noFill/>
                    </a:ln>
                  </pic:spPr>
                </pic:pic>
              </a:graphicData>
            </a:graphic>
          </wp:inline>
        </w:drawing>
      </w:r>
    </w:p>
    <w:p>
      <w:pPr>
        <w:pStyle w:val="36"/>
        <w:topLinePunct/>
        <w:jc w:val="center"/>
        <w:rPr>
          <w:color w:val="auto"/>
          <w:sz w:val="24"/>
          <w:szCs w:val="24"/>
        </w:rPr>
      </w:pPr>
      <w:r>
        <w:rPr>
          <w:rFonts w:hint="eastAsia"/>
          <w:color w:val="auto"/>
          <w:sz w:val="24"/>
          <w:szCs w:val="24"/>
        </w:rPr>
        <w:t>附图5：</w:t>
      </w:r>
      <w:r>
        <w:rPr>
          <w:rFonts w:hint="eastAsia"/>
          <w:color w:val="auto"/>
          <w:sz w:val="24"/>
          <w:szCs w:val="24"/>
          <w:lang w:eastAsia="zh-CN"/>
        </w:rPr>
        <w:t>项目附近水系</w:t>
      </w:r>
      <w:r>
        <w:rPr>
          <w:rFonts w:hint="eastAsia"/>
          <w:color w:val="auto"/>
          <w:sz w:val="24"/>
          <w:szCs w:val="24"/>
        </w:rPr>
        <w:t>图</w:t>
      </w:r>
      <w:r>
        <w:rPr>
          <w:color w:val="auto"/>
          <w:sz w:val="24"/>
          <w:szCs w:val="24"/>
        </w:rPr>
        <w:br w:type="page"/>
      </w:r>
    </w:p>
    <w:p>
      <w:pPr>
        <w:pStyle w:val="57"/>
        <w:rPr>
          <w:color w:val="auto"/>
        </w:rPr>
      </w:pPr>
    </w:p>
    <w:p>
      <w:pPr>
        <w:pStyle w:val="57"/>
        <w:rPr>
          <w:color w:val="auto"/>
        </w:rPr>
      </w:pPr>
      <w:r>
        <w:rPr>
          <w:color w:val="auto"/>
        </w:rPr>
        <w:drawing>
          <wp:inline distT="0" distB="0" distL="114300" distR="114300">
            <wp:extent cx="4864735" cy="5031105"/>
            <wp:effectExtent l="0" t="0" r="12065" b="1714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7"/>
                    <a:srcRect t="10486"/>
                    <a:stretch>
                      <a:fillRect/>
                    </a:stretch>
                  </pic:blipFill>
                  <pic:spPr>
                    <a:xfrm>
                      <a:off x="0" y="0"/>
                      <a:ext cx="4864735" cy="5031105"/>
                    </a:xfrm>
                    <a:prstGeom prst="rect">
                      <a:avLst/>
                    </a:prstGeom>
                    <a:noFill/>
                    <a:ln>
                      <a:noFill/>
                    </a:ln>
                  </pic:spPr>
                </pic:pic>
              </a:graphicData>
            </a:graphic>
          </wp:inline>
        </w:drawing>
      </w:r>
    </w:p>
    <w:p>
      <w:pPr>
        <w:pStyle w:val="36"/>
        <w:topLinePunct/>
        <w:jc w:val="center"/>
        <w:rPr>
          <w:color w:val="auto"/>
          <w:sz w:val="24"/>
          <w:szCs w:val="24"/>
        </w:rPr>
      </w:pPr>
      <w:r>
        <w:rPr>
          <w:rFonts w:hint="eastAsia"/>
          <w:color w:val="auto"/>
          <w:sz w:val="24"/>
          <w:szCs w:val="24"/>
        </w:rPr>
        <w:t>附图6：连州市大气环境功能区划图</w:t>
      </w:r>
      <w:r>
        <w:rPr>
          <w:color w:val="auto"/>
          <w:sz w:val="24"/>
          <w:szCs w:val="24"/>
        </w:rPr>
        <w:br w:type="page"/>
      </w:r>
    </w:p>
    <w:p>
      <w:pPr>
        <w:pStyle w:val="57"/>
        <w:rPr>
          <w:color w:val="auto"/>
        </w:rPr>
      </w:pPr>
      <w:r>
        <w:rPr>
          <w:color w:val="auto"/>
        </w:rPr>
        <w:drawing>
          <wp:inline distT="0" distB="0" distL="114300" distR="114300">
            <wp:extent cx="5431155" cy="5271770"/>
            <wp:effectExtent l="0" t="0" r="17145" b="5080"/>
            <wp:docPr id="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pic:cNvPicPr>
                      <a:picLocks noChangeAspect="1"/>
                    </pic:cNvPicPr>
                  </pic:nvPicPr>
                  <pic:blipFill>
                    <a:blip r:embed="rId28"/>
                    <a:stretch>
                      <a:fillRect/>
                    </a:stretch>
                  </pic:blipFill>
                  <pic:spPr>
                    <a:xfrm>
                      <a:off x="0" y="0"/>
                      <a:ext cx="5431155" cy="5271770"/>
                    </a:xfrm>
                    <a:prstGeom prst="rect">
                      <a:avLst/>
                    </a:prstGeom>
                    <a:noFill/>
                    <a:ln>
                      <a:noFill/>
                    </a:ln>
                  </pic:spPr>
                </pic:pic>
              </a:graphicData>
            </a:graphic>
          </wp:inline>
        </w:drawing>
      </w:r>
    </w:p>
    <w:p>
      <w:pPr>
        <w:pStyle w:val="36"/>
        <w:topLinePunct/>
        <w:jc w:val="center"/>
        <w:rPr>
          <w:rFonts w:hint="eastAsia"/>
          <w:color w:val="auto"/>
          <w:sz w:val="24"/>
          <w:szCs w:val="24"/>
        </w:rPr>
      </w:pPr>
      <w:r>
        <w:rPr>
          <w:rFonts w:hint="eastAsia"/>
          <w:color w:val="auto"/>
          <w:sz w:val="24"/>
          <w:szCs w:val="24"/>
        </w:rPr>
        <w:t>附图7：生态严控区功能区划图</w:t>
      </w:r>
    </w:p>
    <w:p>
      <w:pPr>
        <w:jc w:val="center"/>
        <w:rPr>
          <w:rFonts w:ascii="Times New Roman" w:hAnsi="Times New Roman" w:cs="Times New Roman"/>
          <w:color w:val="auto"/>
        </w:rPr>
      </w:pPr>
      <w:r>
        <w:rPr>
          <w:color w:val="auto"/>
        </w:rPr>
        <w:drawing>
          <wp:inline distT="0" distB="0" distL="114300" distR="114300">
            <wp:extent cx="6750050" cy="4970780"/>
            <wp:effectExtent l="0" t="0" r="12700" b="127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29"/>
                    <a:stretch>
                      <a:fillRect/>
                    </a:stretch>
                  </pic:blipFill>
                  <pic:spPr>
                    <a:xfrm>
                      <a:off x="0" y="0"/>
                      <a:ext cx="6750050" cy="4970780"/>
                    </a:xfrm>
                    <a:prstGeom prst="rect">
                      <a:avLst/>
                    </a:prstGeom>
                    <a:noFill/>
                    <a:ln>
                      <a:noFill/>
                    </a:ln>
                  </pic:spPr>
                </pic:pic>
              </a:graphicData>
            </a:graphic>
          </wp:inline>
        </w:drawing>
      </w:r>
    </w:p>
    <w:p>
      <w:pPr>
        <w:pStyle w:val="36"/>
        <w:topLinePunct/>
        <w:jc w:val="center"/>
        <w:rPr>
          <w:rFonts w:hint="eastAsia" w:ascii="Times New Roman" w:hAnsi="Times New Roman" w:eastAsia="宋体" w:cstheme="minorBidi"/>
          <w:color w:val="auto"/>
          <w:sz w:val="24"/>
          <w:szCs w:val="24"/>
          <w:lang w:val="en-US" w:eastAsia="zh-CN"/>
        </w:rPr>
        <w:sectPr>
          <w:pgSz w:w="16838" w:h="11906" w:orient="landscape"/>
          <w:pgMar w:top="1531" w:right="1418" w:bottom="1531" w:left="1418" w:header="851" w:footer="992" w:gutter="0"/>
          <w:pgBorders>
            <w:top w:val="none" w:sz="0" w:space="0"/>
            <w:left w:val="none" w:sz="0" w:space="0"/>
            <w:bottom w:val="none" w:sz="0" w:space="0"/>
            <w:right w:val="none" w:sz="0" w:space="0"/>
          </w:pgBorders>
          <w:cols w:space="0" w:num="1"/>
          <w:docGrid w:linePitch="312" w:charSpace="0"/>
        </w:sectPr>
      </w:pPr>
      <w:r>
        <w:rPr>
          <w:rFonts w:hint="eastAsia" w:ascii="Times New Roman" w:hAnsi="Times New Roman" w:cstheme="minorBidi"/>
          <w:color w:val="auto"/>
          <w:sz w:val="24"/>
          <w:szCs w:val="24"/>
          <w:lang w:eastAsia="zh-CN"/>
        </w:rPr>
        <w:t>附图</w:t>
      </w:r>
      <w:r>
        <w:rPr>
          <w:rFonts w:hint="eastAsia" w:ascii="Times New Roman" w:hAnsi="Times New Roman" w:cstheme="minorBidi"/>
          <w:color w:val="auto"/>
          <w:sz w:val="24"/>
          <w:szCs w:val="24"/>
          <w:lang w:val="en-US" w:eastAsia="zh-CN"/>
        </w:rPr>
        <w:t>8：引用西江水监测</w:t>
      </w:r>
      <w:r>
        <w:rPr>
          <w:rFonts w:hint="eastAsia" w:cstheme="minorBidi"/>
          <w:color w:val="auto"/>
          <w:sz w:val="24"/>
          <w:szCs w:val="24"/>
          <w:lang w:val="en-US" w:eastAsia="zh-CN"/>
        </w:rPr>
        <w:t>点位图</w:t>
      </w:r>
    </w:p>
    <w:p>
      <w:pPr>
        <w:ind w:firstLine="0" w:firstLineChars="0"/>
        <w:jc w:val="center"/>
        <w:rPr>
          <w:color w:val="auto"/>
        </w:rPr>
      </w:pPr>
      <w:r>
        <w:rPr>
          <w:color w:val="auto"/>
        </w:rPr>
        <w:drawing>
          <wp:inline distT="0" distB="0" distL="114300" distR="114300">
            <wp:extent cx="5610225" cy="4796790"/>
            <wp:effectExtent l="0" t="0" r="9525" b="381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30"/>
                    <a:stretch>
                      <a:fillRect/>
                    </a:stretch>
                  </pic:blipFill>
                  <pic:spPr>
                    <a:xfrm>
                      <a:off x="0" y="0"/>
                      <a:ext cx="5610225" cy="4796790"/>
                    </a:xfrm>
                    <a:prstGeom prst="rect">
                      <a:avLst/>
                    </a:prstGeom>
                    <a:noFill/>
                    <a:ln>
                      <a:noFill/>
                    </a:ln>
                  </pic:spPr>
                </pic:pic>
              </a:graphicData>
            </a:graphic>
          </wp:inline>
        </w:drawing>
      </w:r>
    </w:p>
    <w:p>
      <w:pPr>
        <w:pStyle w:val="36"/>
        <w:topLinePunct/>
        <w:jc w:val="center"/>
        <w:rPr>
          <w:color w:val="auto"/>
          <w:sz w:val="24"/>
          <w:szCs w:val="24"/>
        </w:rPr>
      </w:pPr>
      <w:r>
        <w:rPr>
          <w:rFonts w:hint="eastAsia"/>
          <w:color w:val="auto"/>
          <w:sz w:val="24"/>
          <w:szCs w:val="24"/>
        </w:rPr>
        <w:t>附图</w:t>
      </w:r>
      <w:r>
        <w:rPr>
          <w:rFonts w:hint="eastAsia"/>
          <w:color w:val="auto"/>
          <w:sz w:val="24"/>
          <w:szCs w:val="24"/>
          <w:lang w:val="en-US" w:eastAsia="zh-CN"/>
        </w:rPr>
        <w:t>9</w:t>
      </w:r>
      <w:r>
        <w:rPr>
          <w:rFonts w:hint="eastAsia"/>
          <w:color w:val="auto"/>
          <w:sz w:val="24"/>
          <w:szCs w:val="24"/>
        </w:rPr>
        <w:t>：</w:t>
      </w:r>
      <w:r>
        <w:rPr>
          <w:rFonts w:hint="eastAsia"/>
          <w:color w:val="auto"/>
          <w:sz w:val="24"/>
          <w:szCs w:val="24"/>
          <w:lang w:eastAsia="zh-CN"/>
        </w:rPr>
        <w:t>周边</w:t>
      </w:r>
      <w:r>
        <w:rPr>
          <w:rFonts w:hint="eastAsia"/>
          <w:color w:val="auto"/>
          <w:sz w:val="24"/>
          <w:szCs w:val="24"/>
        </w:rPr>
        <w:t>敏感点示意图</w:t>
      </w:r>
      <w:r>
        <w:rPr>
          <w:color w:val="auto"/>
          <w:sz w:val="24"/>
          <w:szCs w:val="24"/>
        </w:rPr>
        <w:br w:type="page"/>
      </w:r>
    </w:p>
    <w:p>
      <w:pPr>
        <w:pStyle w:val="57"/>
        <w:rPr>
          <w:color w:val="auto"/>
        </w:rPr>
      </w:pPr>
      <w:r>
        <w:rPr>
          <w:color w:val="auto"/>
        </w:rPr>
        <w:drawing>
          <wp:inline distT="0" distB="0" distL="114300" distR="114300">
            <wp:extent cx="5117465" cy="5166360"/>
            <wp:effectExtent l="0" t="0" r="6985" b="15240"/>
            <wp:docPr id="1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pic:cNvPicPr>
                      <a:picLocks noChangeAspect="1"/>
                    </pic:cNvPicPr>
                  </pic:nvPicPr>
                  <pic:blipFill>
                    <a:blip r:embed="rId31"/>
                    <a:stretch>
                      <a:fillRect/>
                    </a:stretch>
                  </pic:blipFill>
                  <pic:spPr>
                    <a:xfrm>
                      <a:off x="0" y="0"/>
                      <a:ext cx="5117465" cy="5166360"/>
                    </a:xfrm>
                    <a:prstGeom prst="rect">
                      <a:avLst/>
                    </a:prstGeom>
                    <a:noFill/>
                    <a:ln>
                      <a:noFill/>
                    </a:ln>
                  </pic:spPr>
                </pic:pic>
              </a:graphicData>
            </a:graphic>
          </wp:inline>
        </w:drawing>
      </w:r>
    </w:p>
    <w:p>
      <w:pPr>
        <w:pStyle w:val="36"/>
        <w:topLinePunct/>
        <w:jc w:val="center"/>
        <w:rPr>
          <w:color w:val="auto"/>
          <w:sz w:val="24"/>
          <w:szCs w:val="24"/>
        </w:rPr>
      </w:pPr>
      <w:r>
        <w:rPr>
          <w:rFonts w:hint="eastAsia"/>
          <w:color w:val="auto"/>
          <w:sz w:val="24"/>
          <w:szCs w:val="24"/>
        </w:rPr>
        <w:t>附图</w:t>
      </w:r>
      <w:r>
        <w:rPr>
          <w:rFonts w:hint="eastAsia"/>
          <w:color w:val="auto"/>
          <w:sz w:val="24"/>
          <w:szCs w:val="24"/>
          <w:lang w:val="en-US" w:eastAsia="zh-CN"/>
        </w:rPr>
        <w:t>10</w:t>
      </w:r>
      <w:r>
        <w:rPr>
          <w:rFonts w:hint="eastAsia"/>
          <w:color w:val="auto"/>
          <w:sz w:val="24"/>
          <w:szCs w:val="24"/>
        </w:rPr>
        <w:t>：噪声监测点位图</w:t>
      </w:r>
    </w:p>
    <w:p>
      <w:pPr>
        <w:pStyle w:val="36"/>
        <w:topLinePunct/>
        <w:jc w:val="center"/>
        <w:rPr>
          <w:color w:val="auto"/>
          <w:sz w:val="24"/>
          <w:szCs w:val="24"/>
        </w:rPr>
        <w:sectPr>
          <w:pgSz w:w="11906" w:h="16838"/>
          <w:pgMar w:top="1418" w:right="1531" w:bottom="1418" w:left="1531" w:header="851" w:footer="992" w:gutter="0"/>
          <w:pgBorders>
            <w:top w:val="none" w:sz="0" w:space="0"/>
            <w:left w:val="none" w:sz="0" w:space="0"/>
            <w:bottom w:val="none" w:sz="0" w:space="0"/>
            <w:right w:val="none" w:sz="0" w:space="0"/>
          </w:pgBorders>
          <w:cols w:space="0" w:num="1"/>
          <w:docGrid w:linePitch="312" w:charSpace="0"/>
        </w:sectPr>
      </w:pPr>
    </w:p>
    <w:p>
      <w:pPr>
        <w:pStyle w:val="57"/>
        <w:rPr>
          <w:color w:val="auto"/>
        </w:rPr>
      </w:pPr>
    </w:p>
    <w:p>
      <w:pPr>
        <w:pStyle w:val="57"/>
        <w:rPr>
          <w:color w:val="auto"/>
        </w:rPr>
      </w:pPr>
    </w:p>
    <w:p>
      <w:pPr>
        <w:pStyle w:val="57"/>
        <w:rPr>
          <w:color w:val="auto"/>
        </w:rPr>
      </w:pPr>
    </w:p>
    <w:tbl>
      <w:tblPr>
        <w:tblStyle w:val="40"/>
        <w:tblW w:w="906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71"/>
        <w:gridCol w:w="458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4471" w:type="dxa"/>
            <w:vAlign w:val="center"/>
          </w:tcPr>
          <w:p>
            <w:pPr>
              <w:pStyle w:val="57"/>
              <w:rPr>
                <w:rFonts w:hint="eastAsia" w:eastAsia="宋体"/>
                <w:color w:val="auto"/>
                <w:lang w:eastAsia="zh-CN"/>
              </w:rPr>
            </w:pPr>
            <w:r>
              <w:rPr>
                <w:color w:val="auto"/>
              </w:rPr>
              <w:drawing>
                <wp:inline distT="0" distB="0" distL="114300" distR="114300">
                  <wp:extent cx="2731135" cy="2284730"/>
                  <wp:effectExtent l="0" t="0" r="12065" b="127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32"/>
                          <a:stretch>
                            <a:fillRect/>
                          </a:stretch>
                        </pic:blipFill>
                        <pic:spPr>
                          <a:xfrm>
                            <a:off x="0" y="0"/>
                            <a:ext cx="2731135" cy="2284730"/>
                          </a:xfrm>
                          <a:prstGeom prst="rect">
                            <a:avLst/>
                          </a:prstGeom>
                          <a:noFill/>
                          <a:ln>
                            <a:noFill/>
                          </a:ln>
                        </pic:spPr>
                      </pic:pic>
                    </a:graphicData>
                  </a:graphic>
                </wp:inline>
              </w:drawing>
            </w:r>
          </w:p>
        </w:tc>
        <w:tc>
          <w:tcPr>
            <w:tcW w:w="4589" w:type="dxa"/>
            <w:vAlign w:val="center"/>
          </w:tcPr>
          <w:p>
            <w:pPr>
              <w:pStyle w:val="57"/>
              <w:rPr>
                <w:color w:val="auto"/>
              </w:rPr>
            </w:pPr>
            <w:r>
              <w:rPr>
                <w:color w:val="auto"/>
              </w:rPr>
              <w:drawing>
                <wp:inline distT="0" distB="0" distL="114300" distR="114300">
                  <wp:extent cx="2802255" cy="2202815"/>
                  <wp:effectExtent l="0" t="0" r="17145" b="698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33"/>
                          <a:stretch>
                            <a:fillRect/>
                          </a:stretch>
                        </pic:blipFill>
                        <pic:spPr>
                          <a:xfrm>
                            <a:off x="0" y="0"/>
                            <a:ext cx="2802255" cy="2202815"/>
                          </a:xfrm>
                          <a:prstGeom prst="rect">
                            <a:avLst/>
                          </a:prstGeom>
                          <a:noFill/>
                          <a:ln>
                            <a:noFill/>
                          </a:ln>
                        </pic:spPr>
                      </pic:pic>
                    </a:graphicData>
                  </a:graphic>
                </wp:inline>
              </w:drawing>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4471" w:type="dxa"/>
            <w:vAlign w:val="center"/>
          </w:tcPr>
          <w:p>
            <w:pPr>
              <w:pStyle w:val="57"/>
              <w:rPr>
                <w:color w:val="auto"/>
              </w:rPr>
            </w:pPr>
            <w:r>
              <w:rPr>
                <w:rFonts w:hint="eastAsia"/>
                <w:color w:val="auto"/>
                <w:lang w:eastAsia="zh-CN"/>
              </w:rPr>
              <w:t>新建水厂所在地附近</w:t>
            </w:r>
          </w:p>
        </w:tc>
        <w:tc>
          <w:tcPr>
            <w:tcW w:w="4589" w:type="dxa"/>
            <w:vAlign w:val="center"/>
          </w:tcPr>
          <w:p>
            <w:pPr>
              <w:pStyle w:val="57"/>
              <w:rPr>
                <w:rFonts w:hint="eastAsia" w:eastAsia="宋体"/>
                <w:color w:val="auto"/>
                <w:lang w:eastAsia="zh-CN"/>
              </w:rPr>
            </w:pPr>
            <w:r>
              <w:rPr>
                <w:rFonts w:hint="eastAsia"/>
                <w:color w:val="auto"/>
                <w:lang w:eastAsia="zh-CN"/>
              </w:rPr>
              <w:t>新建水厂西面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4471" w:type="dxa"/>
            <w:vAlign w:val="center"/>
          </w:tcPr>
          <w:p>
            <w:pPr>
              <w:pStyle w:val="57"/>
              <w:rPr>
                <w:color w:val="auto"/>
              </w:rPr>
            </w:pPr>
            <w:r>
              <w:rPr>
                <w:color w:val="auto"/>
              </w:rPr>
              <w:drawing>
                <wp:inline distT="0" distB="0" distL="114300" distR="114300">
                  <wp:extent cx="2736850" cy="2250440"/>
                  <wp:effectExtent l="0" t="0" r="6350" b="16510"/>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34"/>
                          <a:stretch>
                            <a:fillRect/>
                          </a:stretch>
                        </pic:blipFill>
                        <pic:spPr>
                          <a:xfrm>
                            <a:off x="0" y="0"/>
                            <a:ext cx="2736850" cy="2250440"/>
                          </a:xfrm>
                          <a:prstGeom prst="rect">
                            <a:avLst/>
                          </a:prstGeom>
                          <a:noFill/>
                          <a:ln>
                            <a:noFill/>
                          </a:ln>
                        </pic:spPr>
                      </pic:pic>
                    </a:graphicData>
                  </a:graphic>
                </wp:inline>
              </w:drawing>
            </w:r>
          </w:p>
        </w:tc>
        <w:tc>
          <w:tcPr>
            <w:tcW w:w="4589" w:type="dxa"/>
            <w:vAlign w:val="center"/>
          </w:tcPr>
          <w:p>
            <w:pPr>
              <w:pStyle w:val="57"/>
              <w:rPr>
                <w:color w:val="auto"/>
              </w:rPr>
            </w:pPr>
            <w:r>
              <w:rPr>
                <w:color w:val="auto"/>
              </w:rPr>
              <w:drawing>
                <wp:inline distT="0" distB="0" distL="114300" distR="114300">
                  <wp:extent cx="2780030" cy="2292985"/>
                  <wp:effectExtent l="0" t="0" r="1270" b="12065"/>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35"/>
                          <a:stretch>
                            <a:fillRect/>
                          </a:stretch>
                        </pic:blipFill>
                        <pic:spPr>
                          <a:xfrm>
                            <a:off x="0" y="0"/>
                            <a:ext cx="2780030" cy="2292985"/>
                          </a:xfrm>
                          <a:prstGeom prst="rect">
                            <a:avLst/>
                          </a:prstGeom>
                          <a:noFill/>
                          <a:ln>
                            <a:noFill/>
                          </a:ln>
                        </pic:spPr>
                      </pic:pic>
                    </a:graphicData>
                  </a:graphic>
                </wp:inline>
              </w:drawing>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4471" w:type="dxa"/>
            <w:vAlign w:val="center"/>
          </w:tcPr>
          <w:p>
            <w:pPr>
              <w:pStyle w:val="57"/>
              <w:rPr>
                <w:rFonts w:hint="eastAsia" w:eastAsia="宋体"/>
                <w:color w:val="auto"/>
                <w:highlight w:val="none"/>
                <w:lang w:eastAsia="zh-CN"/>
              </w:rPr>
            </w:pPr>
            <w:r>
              <w:rPr>
                <w:rFonts w:hint="eastAsia"/>
                <w:color w:val="auto"/>
                <w:highlight w:val="none"/>
                <w:lang w:eastAsia="zh-CN"/>
              </w:rPr>
              <w:t>新建水厂北面</w:t>
            </w:r>
          </w:p>
        </w:tc>
        <w:tc>
          <w:tcPr>
            <w:tcW w:w="4589" w:type="dxa"/>
            <w:vAlign w:val="center"/>
          </w:tcPr>
          <w:p>
            <w:pPr>
              <w:pStyle w:val="57"/>
              <w:rPr>
                <w:color w:val="auto"/>
                <w:highlight w:val="none"/>
              </w:rPr>
            </w:pPr>
            <w:r>
              <w:rPr>
                <w:rFonts w:hint="eastAsia"/>
                <w:color w:val="auto"/>
                <w:highlight w:val="none"/>
                <w:lang w:eastAsia="zh-CN"/>
              </w:rPr>
              <w:t>新建水厂西面工厂</w:t>
            </w:r>
          </w:p>
        </w:tc>
      </w:tr>
    </w:tbl>
    <w:p>
      <w:pPr>
        <w:pStyle w:val="36"/>
        <w:topLinePunct/>
        <w:jc w:val="center"/>
        <w:rPr>
          <w:color w:val="auto"/>
          <w:sz w:val="24"/>
          <w:szCs w:val="24"/>
        </w:rPr>
      </w:pPr>
      <w:r>
        <w:rPr>
          <w:rFonts w:hint="eastAsia"/>
          <w:color w:val="auto"/>
          <w:sz w:val="24"/>
          <w:szCs w:val="24"/>
          <w:highlight w:val="none"/>
        </w:rPr>
        <w:t>附图1</w:t>
      </w:r>
      <w:r>
        <w:rPr>
          <w:rFonts w:hint="eastAsia"/>
          <w:color w:val="auto"/>
          <w:sz w:val="24"/>
          <w:szCs w:val="24"/>
          <w:highlight w:val="none"/>
          <w:lang w:val="en-US" w:eastAsia="zh-CN"/>
        </w:rPr>
        <w:t>1</w:t>
      </w:r>
      <w:r>
        <w:rPr>
          <w:rFonts w:hint="eastAsia"/>
          <w:color w:val="auto"/>
          <w:sz w:val="24"/>
          <w:szCs w:val="24"/>
          <w:highlight w:val="none"/>
        </w:rPr>
        <w:t>：项目现状图片</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sectPr>
      <w:pgSz w:w="11906" w:h="16838"/>
      <w:pgMar w:top="1418" w:right="1531" w:bottom="1418" w:left="1531" w:header="851" w:footer="992"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汉鼎简书宋">
    <w:altName w:val="宋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1279705"/>
    </w:sdtPr>
    <w:sdtContent>
      <w:p>
        <w:pPr>
          <w:pStyle w:val="31"/>
          <w:ind w:firstLine="360"/>
          <w:jc w:val="center"/>
        </w:pPr>
        <w:r>
          <w:fldChar w:fldCharType="begin"/>
        </w:r>
        <w:r>
          <w:instrText xml:space="preserve">PAGE   \* MERGEFORMAT</w:instrText>
        </w:r>
        <w:r>
          <w:fldChar w:fldCharType="separate"/>
        </w:r>
        <w:r>
          <w:rPr>
            <w:lang w:val="zh-CN"/>
          </w:rPr>
          <w:t>33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C36338"/>
    <w:multiLevelType w:val="singleLevel"/>
    <w:tmpl w:val="85C36338"/>
    <w:lvl w:ilvl="0" w:tentative="0">
      <w:start w:val="2"/>
      <w:numFmt w:val="decimal"/>
      <w:suff w:val="nothing"/>
      <w:lvlText w:val="（%1）"/>
      <w:lvlJc w:val="left"/>
    </w:lvl>
  </w:abstractNum>
  <w:abstractNum w:abstractNumId="1">
    <w:nsid w:val="3B2AB2D8"/>
    <w:multiLevelType w:val="singleLevel"/>
    <w:tmpl w:val="3B2AB2D8"/>
    <w:lvl w:ilvl="0" w:tentative="0">
      <w:start w:val="2"/>
      <w:numFmt w:val="decimal"/>
      <w:suff w:val="nothing"/>
      <w:lvlText w:val="（%1）"/>
      <w:lvlJc w:val="left"/>
    </w:lvl>
  </w:abstractNum>
  <w:abstractNum w:abstractNumId="2">
    <w:nsid w:val="66D0E44C"/>
    <w:multiLevelType w:val="multilevel"/>
    <w:tmpl w:val="66D0E44C"/>
    <w:lvl w:ilvl="0" w:tentative="0">
      <w:start w:val="1"/>
      <w:numFmt w:val="decimal"/>
      <w:pStyle w:val="14"/>
      <w:lvlText w:val="%1、"/>
      <w:lvlJc w:val="left"/>
      <w:pPr>
        <w:ind w:left="857" w:hanging="37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696580D9"/>
    <w:multiLevelType w:val="multilevel"/>
    <w:tmpl w:val="696580D9"/>
    <w:lvl w:ilvl="0" w:tentative="0">
      <w:start w:val="1"/>
      <w:numFmt w:val="decimal"/>
      <w:lvlText w:val="%1、"/>
      <w:lvlJc w:val="left"/>
      <w:pPr>
        <w:ind w:left="857" w:hanging="375"/>
      </w:pPr>
      <w:rPr>
        <w:rFonts w:hint="default"/>
      </w:rPr>
    </w:lvl>
    <w:lvl w:ilvl="1" w:tentative="0">
      <w:start w:val="1"/>
      <w:numFmt w:val="lowerLetter"/>
      <w:pStyle w:val="15"/>
      <w:lvlText w:val="%2)"/>
      <w:lvlJc w:val="left"/>
      <w:pPr>
        <w:ind w:left="1322" w:hanging="420"/>
      </w:pPr>
    </w:lvl>
    <w:lvl w:ilvl="2" w:tentative="0">
      <w:start w:val="1"/>
      <w:numFmt w:val="lowerRoman"/>
      <w:pStyle w:val="16"/>
      <w:lvlText w:val="%3."/>
      <w:lvlJc w:val="right"/>
      <w:pPr>
        <w:ind w:left="1742" w:hanging="420"/>
      </w:pPr>
    </w:lvl>
    <w:lvl w:ilvl="3" w:tentative="0">
      <w:start w:val="1"/>
      <w:numFmt w:val="decimal"/>
      <w:pStyle w:val="17"/>
      <w:lvlText w:val="%4."/>
      <w:lvlJc w:val="left"/>
      <w:pPr>
        <w:ind w:left="2162" w:hanging="420"/>
      </w:pPr>
    </w:lvl>
    <w:lvl w:ilvl="4" w:tentative="0">
      <w:start w:val="1"/>
      <w:numFmt w:val="lowerLetter"/>
      <w:pStyle w:val="18"/>
      <w:lvlText w:val="%5)"/>
      <w:lvlJc w:val="left"/>
      <w:pPr>
        <w:ind w:left="2582" w:hanging="420"/>
      </w:pPr>
    </w:lvl>
    <w:lvl w:ilvl="5" w:tentative="0">
      <w:start w:val="1"/>
      <w:numFmt w:val="lowerRoman"/>
      <w:pStyle w:val="19"/>
      <w:lvlText w:val="%6."/>
      <w:lvlJc w:val="right"/>
      <w:pPr>
        <w:ind w:left="3002" w:hanging="420"/>
      </w:pPr>
    </w:lvl>
    <w:lvl w:ilvl="6" w:tentative="0">
      <w:start w:val="1"/>
      <w:numFmt w:val="decimal"/>
      <w:pStyle w:val="20"/>
      <w:lvlText w:val="%7."/>
      <w:lvlJc w:val="left"/>
      <w:pPr>
        <w:ind w:left="3422" w:hanging="420"/>
      </w:pPr>
    </w:lvl>
    <w:lvl w:ilvl="7" w:tentative="0">
      <w:start w:val="1"/>
      <w:numFmt w:val="lowerLetter"/>
      <w:pStyle w:val="21"/>
      <w:lvlText w:val="%8)"/>
      <w:lvlJc w:val="left"/>
      <w:pPr>
        <w:ind w:left="3842" w:hanging="420"/>
      </w:pPr>
    </w:lvl>
    <w:lvl w:ilvl="8" w:tentative="0">
      <w:start w:val="1"/>
      <w:numFmt w:val="lowerRoman"/>
      <w:pStyle w:val="22"/>
      <w:lvlText w:val="%9."/>
      <w:lvlJc w:val="right"/>
      <w:pPr>
        <w:ind w:left="4262" w:hanging="420"/>
      </w:pPr>
    </w:lvl>
  </w:abstractNum>
  <w:abstractNum w:abstractNumId="4">
    <w:nsid w:val="76FA9BB8"/>
    <w:multiLevelType w:val="singleLevel"/>
    <w:tmpl w:val="76FA9BB8"/>
    <w:lvl w:ilvl="0" w:tentative="0">
      <w:start w:val="1"/>
      <w:numFmt w:val="bullet"/>
      <w:pStyle w:val="10"/>
      <w:lvlText w:val=""/>
      <w:lvlJc w:val="left"/>
      <w:pPr>
        <w:tabs>
          <w:tab w:val="left" w:pos="780"/>
        </w:tabs>
        <w:ind w:left="780" w:hanging="360"/>
      </w:pPr>
      <w:rPr>
        <w:rFonts w:hint="default" w:ascii="Wingdings" w:hAnsi="Wingdings"/>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D"/>
    <w:rsid w:val="0000067F"/>
    <w:rsid w:val="0000113E"/>
    <w:rsid w:val="000041E1"/>
    <w:rsid w:val="00005153"/>
    <w:rsid w:val="000116DF"/>
    <w:rsid w:val="00011957"/>
    <w:rsid w:val="00011ECF"/>
    <w:rsid w:val="00012591"/>
    <w:rsid w:val="000130EA"/>
    <w:rsid w:val="000131B6"/>
    <w:rsid w:val="00013211"/>
    <w:rsid w:val="000135D9"/>
    <w:rsid w:val="0001377D"/>
    <w:rsid w:val="000152C8"/>
    <w:rsid w:val="0001748B"/>
    <w:rsid w:val="00021FDE"/>
    <w:rsid w:val="00022E1D"/>
    <w:rsid w:val="00024B29"/>
    <w:rsid w:val="000268DA"/>
    <w:rsid w:val="00026EC0"/>
    <w:rsid w:val="0002729A"/>
    <w:rsid w:val="000279D7"/>
    <w:rsid w:val="00027AE9"/>
    <w:rsid w:val="00027C90"/>
    <w:rsid w:val="000304C5"/>
    <w:rsid w:val="00041382"/>
    <w:rsid w:val="000415ED"/>
    <w:rsid w:val="00041FD9"/>
    <w:rsid w:val="00042B50"/>
    <w:rsid w:val="000466E7"/>
    <w:rsid w:val="00051F5E"/>
    <w:rsid w:val="000523E0"/>
    <w:rsid w:val="00054280"/>
    <w:rsid w:val="00054562"/>
    <w:rsid w:val="00055783"/>
    <w:rsid w:val="00057DB6"/>
    <w:rsid w:val="00060917"/>
    <w:rsid w:val="000613B1"/>
    <w:rsid w:val="0006193C"/>
    <w:rsid w:val="00061D29"/>
    <w:rsid w:val="00064589"/>
    <w:rsid w:val="00064E9D"/>
    <w:rsid w:val="000650A6"/>
    <w:rsid w:val="00066B50"/>
    <w:rsid w:val="00067200"/>
    <w:rsid w:val="00067A06"/>
    <w:rsid w:val="00067D11"/>
    <w:rsid w:val="0007095C"/>
    <w:rsid w:val="00071161"/>
    <w:rsid w:val="00072566"/>
    <w:rsid w:val="0007390E"/>
    <w:rsid w:val="000768BF"/>
    <w:rsid w:val="0007691B"/>
    <w:rsid w:val="00077CF5"/>
    <w:rsid w:val="00080188"/>
    <w:rsid w:val="0008045D"/>
    <w:rsid w:val="00082BAE"/>
    <w:rsid w:val="00084683"/>
    <w:rsid w:val="00085168"/>
    <w:rsid w:val="0008535D"/>
    <w:rsid w:val="000869CE"/>
    <w:rsid w:val="00091F01"/>
    <w:rsid w:val="00094D21"/>
    <w:rsid w:val="00094E10"/>
    <w:rsid w:val="000957A8"/>
    <w:rsid w:val="000964C4"/>
    <w:rsid w:val="000A2582"/>
    <w:rsid w:val="000A53D0"/>
    <w:rsid w:val="000A5903"/>
    <w:rsid w:val="000B0ADB"/>
    <w:rsid w:val="000B0B4C"/>
    <w:rsid w:val="000B1543"/>
    <w:rsid w:val="000B2312"/>
    <w:rsid w:val="000B3556"/>
    <w:rsid w:val="000B5073"/>
    <w:rsid w:val="000B5A46"/>
    <w:rsid w:val="000B5DFE"/>
    <w:rsid w:val="000B6979"/>
    <w:rsid w:val="000B6EB3"/>
    <w:rsid w:val="000C55D9"/>
    <w:rsid w:val="000C59EB"/>
    <w:rsid w:val="000C6109"/>
    <w:rsid w:val="000C6FED"/>
    <w:rsid w:val="000D29BC"/>
    <w:rsid w:val="000D475F"/>
    <w:rsid w:val="000D4F05"/>
    <w:rsid w:val="000D575E"/>
    <w:rsid w:val="000E2673"/>
    <w:rsid w:val="000E6E0D"/>
    <w:rsid w:val="000E7048"/>
    <w:rsid w:val="000F0070"/>
    <w:rsid w:val="000F0172"/>
    <w:rsid w:val="000F0568"/>
    <w:rsid w:val="000F1E96"/>
    <w:rsid w:val="000F3153"/>
    <w:rsid w:val="000F77B5"/>
    <w:rsid w:val="00100127"/>
    <w:rsid w:val="00100FFD"/>
    <w:rsid w:val="00101146"/>
    <w:rsid w:val="00104662"/>
    <w:rsid w:val="00105BE1"/>
    <w:rsid w:val="00105DB8"/>
    <w:rsid w:val="001071DB"/>
    <w:rsid w:val="00110C13"/>
    <w:rsid w:val="00111773"/>
    <w:rsid w:val="00111D97"/>
    <w:rsid w:val="00112698"/>
    <w:rsid w:val="001127F4"/>
    <w:rsid w:val="00113DF1"/>
    <w:rsid w:val="00115C34"/>
    <w:rsid w:val="00116272"/>
    <w:rsid w:val="00122E01"/>
    <w:rsid w:val="001231FD"/>
    <w:rsid w:val="00123A64"/>
    <w:rsid w:val="00124818"/>
    <w:rsid w:val="00125CCE"/>
    <w:rsid w:val="00126462"/>
    <w:rsid w:val="001269BE"/>
    <w:rsid w:val="00127B5C"/>
    <w:rsid w:val="00127DB1"/>
    <w:rsid w:val="00130BF5"/>
    <w:rsid w:val="00132372"/>
    <w:rsid w:val="0013254A"/>
    <w:rsid w:val="00133159"/>
    <w:rsid w:val="0013340F"/>
    <w:rsid w:val="001350C7"/>
    <w:rsid w:val="00135E2B"/>
    <w:rsid w:val="00136989"/>
    <w:rsid w:val="00142FF7"/>
    <w:rsid w:val="00143931"/>
    <w:rsid w:val="0014422E"/>
    <w:rsid w:val="001447EE"/>
    <w:rsid w:val="0014530E"/>
    <w:rsid w:val="0014536F"/>
    <w:rsid w:val="00146187"/>
    <w:rsid w:val="00147049"/>
    <w:rsid w:val="001509E2"/>
    <w:rsid w:val="00152FAB"/>
    <w:rsid w:val="00153329"/>
    <w:rsid w:val="0015365C"/>
    <w:rsid w:val="00154536"/>
    <w:rsid w:val="00156943"/>
    <w:rsid w:val="00157565"/>
    <w:rsid w:val="00157D19"/>
    <w:rsid w:val="00157D64"/>
    <w:rsid w:val="00157F9A"/>
    <w:rsid w:val="00160712"/>
    <w:rsid w:val="00162825"/>
    <w:rsid w:val="00162A23"/>
    <w:rsid w:val="001630CD"/>
    <w:rsid w:val="00164623"/>
    <w:rsid w:val="00167669"/>
    <w:rsid w:val="00167682"/>
    <w:rsid w:val="00171208"/>
    <w:rsid w:val="00171688"/>
    <w:rsid w:val="00172A27"/>
    <w:rsid w:val="0017465D"/>
    <w:rsid w:val="00176C01"/>
    <w:rsid w:val="00176D6C"/>
    <w:rsid w:val="001811EA"/>
    <w:rsid w:val="00182F4C"/>
    <w:rsid w:val="001831AE"/>
    <w:rsid w:val="00183804"/>
    <w:rsid w:val="00185414"/>
    <w:rsid w:val="001875F4"/>
    <w:rsid w:val="0019010B"/>
    <w:rsid w:val="00190DEC"/>
    <w:rsid w:val="00191EAB"/>
    <w:rsid w:val="00193AE1"/>
    <w:rsid w:val="00193F28"/>
    <w:rsid w:val="00194D15"/>
    <w:rsid w:val="001965B5"/>
    <w:rsid w:val="001966FE"/>
    <w:rsid w:val="001A0111"/>
    <w:rsid w:val="001A01B9"/>
    <w:rsid w:val="001A028B"/>
    <w:rsid w:val="001A179D"/>
    <w:rsid w:val="001A2151"/>
    <w:rsid w:val="001A2BB8"/>
    <w:rsid w:val="001A3233"/>
    <w:rsid w:val="001A3D86"/>
    <w:rsid w:val="001A4370"/>
    <w:rsid w:val="001A4885"/>
    <w:rsid w:val="001A4D0C"/>
    <w:rsid w:val="001A754C"/>
    <w:rsid w:val="001B0B64"/>
    <w:rsid w:val="001B2091"/>
    <w:rsid w:val="001B2ADE"/>
    <w:rsid w:val="001B60AB"/>
    <w:rsid w:val="001C0263"/>
    <w:rsid w:val="001C14E6"/>
    <w:rsid w:val="001C1C5F"/>
    <w:rsid w:val="001C1F37"/>
    <w:rsid w:val="001C2ED4"/>
    <w:rsid w:val="001C3A8D"/>
    <w:rsid w:val="001C4AFC"/>
    <w:rsid w:val="001C508F"/>
    <w:rsid w:val="001C6941"/>
    <w:rsid w:val="001D0601"/>
    <w:rsid w:val="001D16A7"/>
    <w:rsid w:val="001D3EBB"/>
    <w:rsid w:val="001D401E"/>
    <w:rsid w:val="001D433D"/>
    <w:rsid w:val="001D47FB"/>
    <w:rsid w:val="001D5FF3"/>
    <w:rsid w:val="001D7758"/>
    <w:rsid w:val="001E0426"/>
    <w:rsid w:val="001E154B"/>
    <w:rsid w:val="001E15AF"/>
    <w:rsid w:val="001E1CB5"/>
    <w:rsid w:val="001E52F6"/>
    <w:rsid w:val="001E61D8"/>
    <w:rsid w:val="001E7972"/>
    <w:rsid w:val="001F1924"/>
    <w:rsid w:val="001F4262"/>
    <w:rsid w:val="001F6189"/>
    <w:rsid w:val="00201334"/>
    <w:rsid w:val="002032AB"/>
    <w:rsid w:val="00204106"/>
    <w:rsid w:val="002062B0"/>
    <w:rsid w:val="002064ED"/>
    <w:rsid w:val="00206B10"/>
    <w:rsid w:val="00211888"/>
    <w:rsid w:val="00211B35"/>
    <w:rsid w:val="0021443E"/>
    <w:rsid w:val="0022030E"/>
    <w:rsid w:val="00220B7C"/>
    <w:rsid w:val="00222319"/>
    <w:rsid w:val="00223B3D"/>
    <w:rsid w:val="00223D85"/>
    <w:rsid w:val="002257D3"/>
    <w:rsid w:val="00226E85"/>
    <w:rsid w:val="00227090"/>
    <w:rsid w:val="00230E16"/>
    <w:rsid w:val="00230F4D"/>
    <w:rsid w:val="00232789"/>
    <w:rsid w:val="00234EDF"/>
    <w:rsid w:val="00234EEC"/>
    <w:rsid w:val="00237C36"/>
    <w:rsid w:val="00241AB7"/>
    <w:rsid w:val="00245547"/>
    <w:rsid w:val="0024751A"/>
    <w:rsid w:val="002478E7"/>
    <w:rsid w:val="00247CBE"/>
    <w:rsid w:val="00250103"/>
    <w:rsid w:val="002507C9"/>
    <w:rsid w:val="00252514"/>
    <w:rsid w:val="0025390B"/>
    <w:rsid w:val="00254F23"/>
    <w:rsid w:val="0026077F"/>
    <w:rsid w:val="002609E8"/>
    <w:rsid w:val="00260E6E"/>
    <w:rsid w:val="00262491"/>
    <w:rsid w:val="00262C1E"/>
    <w:rsid w:val="002635CC"/>
    <w:rsid w:val="002645DF"/>
    <w:rsid w:val="00264A34"/>
    <w:rsid w:val="00264A7B"/>
    <w:rsid w:val="00265E0B"/>
    <w:rsid w:val="00267399"/>
    <w:rsid w:val="002677EC"/>
    <w:rsid w:val="00271B8B"/>
    <w:rsid w:val="00274626"/>
    <w:rsid w:val="00275246"/>
    <w:rsid w:val="002752D1"/>
    <w:rsid w:val="002759D3"/>
    <w:rsid w:val="00275F6E"/>
    <w:rsid w:val="002768CF"/>
    <w:rsid w:val="00285E92"/>
    <w:rsid w:val="002860D0"/>
    <w:rsid w:val="002860F6"/>
    <w:rsid w:val="00286150"/>
    <w:rsid w:val="002861FC"/>
    <w:rsid w:val="0028631B"/>
    <w:rsid w:val="00290B8F"/>
    <w:rsid w:val="0029137A"/>
    <w:rsid w:val="002972D2"/>
    <w:rsid w:val="00297BB1"/>
    <w:rsid w:val="002A004E"/>
    <w:rsid w:val="002A2F97"/>
    <w:rsid w:val="002A46F1"/>
    <w:rsid w:val="002A5183"/>
    <w:rsid w:val="002A6C32"/>
    <w:rsid w:val="002B04F5"/>
    <w:rsid w:val="002B1132"/>
    <w:rsid w:val="002B1F37"/>
    <w:rsid w:val="002B274A"/>
    <w:rsid w:val="002B2F1D"/>
    <w:rsid w:val="002B2FDB"/>
    <w:rsid w:val="002B42CD"/>
    <w:rsid w:val="002B4FDB"/>
    <w:rsid w:val="002B68E6"/>
    <w:rsid w:val="002C127C"/>
    <w:rsid w:val="002C154F"/>
    <w:rsid w:val="002C1B52"/>
    <w:rsid w:val="002C299F"/>
    <w:rsid w:val="002C2FA0"/>
    <w:rsid w:val="002C3C79"/>
    <w:rsid w:val="002C415A"/>
    <w:rsid w:val="002C7D2B"/>
    <w:rsid w:val="002D0888"/>
    <w:rsid w:val="002D573B"/>
    <w:rsid w:val="002D6EF8"/>
    <w:rsid w:val="002E0D93"/>
    <w:rsid w:val="002E2D68"/>
    <w:rsid w:val="002E423B"/>
    <w:rsid w:val="002E6783"/>
    <w:rsid w:val="002E7B67"/>
    <w:rsid w:val="002F1A0A"/>
    <w:rsid w:val="002F6BCC"/>
    <w:rsid w:val="003006F6"/>
    <w:rsid w:val="003017ED"/>
    <w:rsid w:val="00302528"/>
    <w:rsid w:val="003028A4"/>
    <w:rsid w:val="00303B38"/>
    <w:rsid w:val="00304433"/>
    <w:rsid w:val="00304A35"/>
    <w:rsid w:val="00306651"/>
    <w:rsid w:val="0030753B"/>
    <w:rsid w:val="00307CA1"/>
    <w:rsid w:val="003110ED"/>
    <w:rsid w:val="00311A59"/>
    <w:rsid w:val="00313A19"/>
    <w:rsid w:val="00313E91"/>
    <w:rsid w:val="003151EE"/>
    <w:rsid w:val="0031741F"/>
    <w:rsid w:val="00317C8D"/>
    <w:rsid w:val="003204AC"/>
    <w:rsid w:val="00320B16"/>
    <w:rsid w:val="00323232"/>
    <w:rsid w:val="0032359A"/>
    <w:rsid w:val="003317FB"/>
    <w:rsid w:val="003356C2"/>
    <w:rsid w:val="003358A9"/>
    <w:rsid w:val="00335AA8"/>
    <w:rsid w:val="00337341"/>
    <w:rsid w:val="0033734F"/>
    <w:rsid w:val="003404F0"/>
    <w:rsid w:val="00342078"/>
    <w:rsid w:val="00342302"/>
    <w:rsid w:val="00345EDB"/>
    <w:rsid w:val="00346177"/>
    <w:rsid w:val="003462F9"/>
    <w:rsid w:val="00347081"/>
    <w:rsid w:val="00350DA3"/>
    <w:rsid w:val="003538A3"/>
    <w:rsid w:val="00360C8D"/>
    <w:rsid w:val="00361A2B"/>
    <w:rsid w:val="00365223"/>
    <w:rsid w:val="00366D21"/>
    <w:rsid w:val="00367951"/>
    <w:rsid w:val="0037042B"/>
    <w:rsid w:val="00372D45"/>
    <w:rsid w:val="00372D92"/>
    <w:rsid w:val="00372E1F"/>
    <w:rsid w:val="00372EEE"/>
    <w:rsid w:val="00373C73"/>
    <w:rsid w:val="00377074"/>
    <w:rsid w:val="00377714"/>
    <w:rsid w:val="0038055C"/>
    <w:rsid w:val="003828CC"/>
    <w:rsid w:val="00383F5B"/>
    <w:rsid w:val="00386A75"/>
    <w:rsid w:val="003875F0"/>
    <w:rsid w:val="00390E07"/>
    <w:rsid w:val="00393B79"/>
    <w:rsid w:val="003972FE"/>
    <w:rsid w:val="003A033D"/>
    <w:rsid w:val="003A0FA4"/>
    <w:rsid w:val="003A17B3"/>
    <w:rsid w:val="003A18EE"/>
    <w:rsid w:val="003A1D9E"/>
    <w:rsid w:val="003A23E1"/>
    <w:rsid w:val="003A79DE"/>
    <w:rsid w:val="003A7F3A"/>
    <w:rsid w:val="003B1481"/>
    <w:rsid w:val="003B3C42"/>
    <w:rsid w:val="003B509E"/>
    <w:rsid w:val="003B6B24"/>
    <w:rsid w:val="003B7DC4"/>
    <w:rsid w:val="003C0181"/>
    <w:rsid w:val="003C1836"/>
    <w:rsid w:val="003C244D"/>
    <w:rsid w:val="003C262F"/>
    <w:rsid w:val="003C4336"/>
    <w:rsid w:val="003D1124"/>
    <w:rsid w:val="003D1F12"/>
    <w:rsid w:val="003D2B5A"/>
    <w:rsid w:val="003D398D"/>
    <w:rsid w:val="003D52C9"/>
    <w:rsid w:val="003E047F"/>
    <w:rsid w:val="003E1514"/>
    <w:rsid w:val="003E1645"/>
    <w:rsid w:val="003E2066"/>
    <w:rsid w:val="003E4791"/>
    <w:rsid w:val="003E5EA0"/>
    <w:rsid w:val="003E7282"/>
    <w:rsid w:val="003E7AC5"/>
    <w:rsid w:val="003E7E25"/>
    <w:rsid w:val="003F0CF9"/>
    <w:rsid w:val="003F1924"/>
    <w:rsid w:val="003F29D4"/>
    <w:rsid w:val="003F2C47"/>
    <w:rsid w:val="003F6D7B"/>
    <w:rsid w:val="003F71CF"/>
    <w:rsid w:val="003F7999"/>
    <w:rsid w:val="004020C6"/>
    <w:rsid w:val="00403423"/>
    <w:rsid w:val="00407BE1"/>
    <w:rsid w:val="004101C7"/>
    <w:rsid w:val="0041112E"/>
    <w:rsid w:val="004161DA"/>
    <w:rsid w:val="00417C20"/>
    <w:rsid w:val="0042038C"/>
    <w:rsid w:val="00420AD5"/>
    <w:rsid w:val="00421C7E"/>
    <w:rsid w:val="00423B09"/>
    <w:rsid w:val="00424D85"/>
    <w:rsid w:val="004300F5"/>
    <w:rsid w:val="0043094B"/>
    <w:rsid w:val="00431047"/>
    <w:rsid w:val="00432651"/>
    <w:rsid w:val="00436D4A"/>
    <w:rsid w:val="0043787B"/>
    <w:rsid w:val="0044022A"/>
    <w:rsid w:val="00442B3D"/>
    <w:rsid w:val="004436F0"/>
    <w:rsid w:val="00443BD9"/>
    <w:rsid w:val="00445381"/>
    <w:rsid w:val="0044550D"/>
    <w:rsid w:val="00445A5F"/>
    <w:rsid w:val="00446F8D"/>
    <w:rsid w:val="00450FBA"/>
    <w:rsid w:val="00452B18"/>
    <w:rsid w:val="00453EB6"/>
    <w:rsid w:val="00462147"/>
    <w:rsid w:val="00474163"/>
    <w:rsid w:val="0047490F"/>
    <w:rsid w:val="00474DD9"/>
    <w:rsid w:val="00475A6B"/>
    <w:rsid w:val="0047697E"/>
    <w:rsid w:val="00477FF0"/>
    <w:rsid w:val="00483468"/>
    <w:rsid w:val="00483E63"/>
    <w:rsid w:val="00484653"/>
    <w:rsid w:val="00486300"/>
    <w:rsid w:val="00486EAF"/>
    <w:rsid w:val="00487528"/>
    <w:rsid w:val="00490BCA"/>
    <w:rsid w:val="00491249"/>
    <w:rsid w:val="00494BB8"/>
    <w:rsid w:val="004972C2"/>
    <w:rsid w:val="004A1F0C"/>
    <w:rsid w:val="004A2EAC"/>
    <w:rsid w:val="004A70FC"/>
    <w:rsid w:val="004B0EDE"/>
    <w:rsid w:val="004B1CFE"/>
    <w:rsid w:val="004B362F"/>
    <w:rsid w:val="004B4B9A"/>
    <w:rsid w:val="004B58E6"/>
    <w:rsid w:val="004C013D"/>
    <w:rsid w:val="004C1084"/>
    <w:rsid w:val="004C320F"/>
    <w:rsid w:val="004C56A1"/>
    <w:rsid w:val="004C59CA"/>
    <w:rsid w:val="004C629E"/>
    <w:rsid w:val="004D0F2B"/>
    <w:rsid w:val="004D1621"/>
    <w:rsid w:val="004D2B05"/>
    <w:rsid w:val="004D4269"/>
    <w:rsid w:val="004D64E3"/>
    <w:rsid w:val="004D6A62"/>
    <w:rsid w:val="004E20B2"/>
    <w:rsid w:val="004E2159"/>
    <w:rsid w:val="004E293C"/>
    <w:rsid w:val="004E3776"/>
    <w:rsid w:val="004E3E90"/>
    <w:rsid w:val="004E5843"/>
    <w:rsid w:val="004F00B6"/>
    <w:rsid w:val="004F0589"/>
    <w:rsid w:val="004F0DC8"/>
    <w:rsid w:val="004F25B2"/>
    <w:rsid w:val="004F3695"/>
    <w:rsid w:val="004F7A0D"/>
    <w:rsid w:val="004F7A69"/>
    <w:rsid w:val="0050297A"/>
    <w:rsid w:val="00503EBA"/>
    <w:rsid w:val="00503FAB"/>
    <w:rsid w:val="00504159"/>
    <w:rsid w:val="00505AB3"/>
    <w:rsid w:val="005060AA"/>
    <w:rsid w:val="00514576"/>
    <w:rsid w:val="00517B02"/>
    <w:rsid w:val="00517B61"/>
    <w:rsid w:val="00520561"/>
    <w:rsid w:val="00520DA4"/>
    <w:rsid w:val="0052126C"/>
    <w:rsid w:val="0052348E"/>
    <w:rsid w:val="0052443B"/>
    <w:rsid w:val="00524B6D"/>
    <w:rsid w:val="0052685C"/>
    <w:rsid w:val="0052697E"/>
    <w:rsid w:val="00526F59"/>
    <w:rsid w:val="0053535D"/>
    <w:rsid w:val="00536534"/>
    <w:rsid w:val="00537A67"/>
    <w:rsid w:val="005404AF"/>
    <w:rsid w:val="005406AA"/>
    <w:rsid w:val="00541088"/>
    <w:rsid w:val="0054288A"/>
    <w:rsid w:val="0054347F"/>
    <w:rsid w:val="00543F16"/>
    <w:rsid w:val="005443DA"/>
    <w:rsid w:val="00544918"/>
    <w:rsid w:val="00544F70"/>
    <w:rsid w:val="00545C5E"/>
    <w:rsid w:val="005462E7"/>
    <w:rsid w:val="005469E7"/>
    <w:rsid w:val="00553442"/>
    <w:rsid w:val="00553A35"/>
    <w:rsid w:val="005556F9"/>
    <w:rsid w:val="00555EA7"/>
    <w:rsid w:val="00555EAA"/>
    <w:rsid w:val="005571BB"/>
    <w:rsid w:val="005611B5"/>
    <w:rsid w:val="00561FD5"/>
    <w:rsid w:val="00562669"/>
    <w:rsid w:val="00562A66"/>
    <w:rsid w:val="00562E28"/>
    <w:rsid w:val="00572A09"/>
    <w:rsid w:val="00575505"/>
    <w:rsid w:val="005764C9"/>
    <w:rsid w:val="005779C2"/>
    <w:rsid w:val="00580E38"/>
    <w:rsid w:val="0058272E"/>
    <w:rsid w:val="00586239"/>
    <w:rsid w:val="005864E2"/>
    <w:rsid w:val="00587722"/>
    <w:rsid w:val="00587B63"/>
    <w:rsid w:val="00590515"/>
    <w:rsid w:val="005939FF"/>
    <w:rsid w:val="0059475E"/>
    <w:rsid w:val="0059495D"/>
    <w:rsid w:val="00595B75"/>
    <w:rsid w:val="00596F10"/>
    <w:rsid w:val="00596F46"/>
    <w:rsid w:val="00597FB1"/>
    <w:rsid w:val="005A033E"/>
    <w:rsid w:val="005A1D1C"/>
    <w:rsid w:val="005A4979"/>
    <w:rsid w:val="005A4D92"/>
    <w:rsid w:val="005A5323"/>
    <w:rsid w:val="005A6E35"/>
    <w:rsid w:val="005A764E"/>
    <w:rsid w:val="005B01F4"/>
    <w:rsid w:val="005B03CE"/>
    <w:rsid w:val="005B0754"/>
    <w:rsid w:val="005B0764"/>
    <w:rsid w:val="005B2442"/>
    <w:rsid w:val="005B5C32"/>
    <w:rsid w:val="005B7757"/>
    <w:rsid w:val="005C16D0"/>
    <w:rsid w:val="005C236C"/>
    <w:rsid w:val="005C2B9E"/>
    <w:rsid w:val="005C327D"/>
    <w:rsid w:val="005C4360"/>
    <w:rsid w:val="005C4417"/>
    <w:rsid w:val="005C70AC"/>
    <w:rsid w:val="005C747A"/>
    <w:rsid w:val="005C7841"/>
    <w:rsid w:val="005C7F0A"/>
    <w:rsid w:val="005D0057"/>
    <w:rsid w:val="005D1DAA"/>
    <w:rsid w:val="005D261E"/>
    <w:rsid w:val="005D2807"/>
    <w:rsid w:val="005D2CF2"/>
    <w:rsid w:val="005D314A"/>
    <w:rsid w:val="005E02CB"/>
    <w:rsid w:val="005E0E0D"/>
    <w:rsid w:val="005E52C7"/>
    <w:rsid w:val="005E73E8"/>
    <w:rsid w:val="005E73F2"/>
    <w:rsid w:val="005E7878"/>
    <w:rsid w:val="005F07D7"/>
    <w:rsid w:val="005F0DD9"/>
    <w:rsid w:val="005F2C58"/>
    <w:rsid w:val="005F354A"/>
    <w:rsid w:val="005F4B43"/>
    <w:rsid w:val="005F739D"/>
    <w:rsid w:val="005F7CDB"/>
    <w:rsid w:val="00600D4C"/>
    <w:rsid w:val="00602AAA"/>
    <w:rsid w:val="00603783"/>
    <w:rsid w:val="00605C31"/>
    <w:rsid w:val="00607098"/>
    <w:rsid w:val="006076BE"/>
    <w:rsid w:val="00610A12"/>
    <w:rsid w:val="00611AE1"/>
    <w:rsid w:val="00611DE4"/>
    <w:rsid w:val="00612598"/>
    <w:rsid w:val="006153AE"/>
    <w:rsid w:val="00615FA0"/>
    <w:rsid w:val="00616FCA"/>
    <w:rsid w:val="006173BC"/>
    <w:rsid w:val="00617BAF"/>
    <w:rsid w:val="00620E20"/>
    <w:rsid w:val="00620F56"/>
    <w:rsid w:val="006222EA"/>
    <w:rsid w:val="00625066"/>
    <w:rsid w:val="00625281"/>
    <w:rsid w:val="00626844"/>
    <w:rsid w:val="00630F40"/>
    <w:rsid w:val="00631D03"/>
    <w:rsid w:val="006336D8"/>
    <w:rsid w:val="006346B0"/>
    <w:rsid w:val="00634E6F"/>
    <w:rsid w:val="00636F41"/>
    <w:rsid w:val="00637F8E"/>
    <w:rsid w:val="006401B2"/>
    <w:rsid w:val="00640736"/>
    <w:rsid w:val="00641302"/>
    <w:rsid w:val="0064163A"/>
    <w:rsid w:val="0064365A"/>
    <w:rsid w:val="00645779"/>
    <w:rsid w:val="006458F7"/>
    <w:rsid w:val="00645F8F"/>
    <w:rsid w:val="00646083"/>
    <w:rsid w:val="00650A6B"/>
    <w:rsid w:val="00651A7D"/>
    <w:rsid w:val="00652A89"/>
    <w:rsid w:val="00652DD1"/>
    <w:rsid w:val="00654D1C"/>
    <w:rsid w:val="006560EA"/>
    <w:rsid w:val="0065744F"/>
    <w:rsid w:val="00660117"/>
    <w:rsid w:val="006606BF"/>
    <w:rsid w:val="00660F29"/>
    <w:rsid w:val="0066132E"/>
    <w:rsid w:val="00661668"/>
    <w:rsid w:val="00663EAC"/>
    <w:rsid w:val="0066533F"/>
    <w:rsid w:val="00665586"/>
    <w:rsid w:val="00666346"/>
    <w:rsid w:val="006667BA"/>
    <w:rsid w:val="0066751D"/>
    <w:rsid w:val="00667BD0"/>
    <w:rsid w:val="00671604"/>
    <w:rsid w:val="00676C06"/>
    <w:rsid w:val="00677EDD"/>
    <w:rsid w:val="00682BF8"/>
    <w:rsid w:val="00684104"/>
    <w:rsid w:val="00684721"/>
    <w:rsid w:val="00685D93"/>
    <w:rsid w:val="00687822"/>
    <w:rsid w:val="00690BFC"/>
    <w:rsid w:val="006936AB"/>
    <w:rsid w:val="0069428D"/>
    <w:rsid w:val="00694977"/>
    <w:rsid w:val="00694DAC"/>
    <w:rsid w:val="00697AAA"/>
    <w:rsid w:val="00697DBF"/>
    <w:rsid w:val="006A083A"/>
    <w:rsid w:val="006A3299"/>
    <w:rsid w:val="006A3855"/>
    <w:rsid w:val="006A4127"/>
    <w:rsid w:val="006A55DD"/>
    <w:rsid w:val="006A5AA9"/>
    <w:rsid w:val="006A7219"/>
    <w:rsid w:val="006A7489"/>
    <w:rsid w:val="006B4009"/>
    <w:rsid w:val="006B587F"/>
    <w:rsid w:val="006C0B87"/>
    <w:rsid w:val="006C0C05"/>
    <w:rsid w:val="006C164B"/>
    <w:rsid w:val="006C1C27"/>
    <w:rsid w:val="006C385F"/>
    <w:rsid w:val="006C4063"/>
    <w:rsid w:val="006C440A"/>
    <w:rsid w:val="006C57D9"/>
    <w:rsid w:val="006C6400"/>
    <w:rsid w:val="006D1033"/>
    <w:rsid w:val="006D24D4"/>
    <w:rsid w:val="006D6319"/>
    <w:rsid w:val="006D66F4"/>
    <w:rsid w:val="006E07B3"/>
    <w:rsid w:val="006E0846"/>
    <w:rsid w:val="006E08F9"/>
    <w:rsid w:val="006E1CFF"/>
    <w:rsid w:val="006E4263"/>
    <w:rsid w:val="006F30EE"/>
    <w:rsid w:val="006F35D6"/>
    <w:rsid w:val="006F68A5"/>
    <w:rsid w:val="00702EE0"/>
    <w:rsid w:val="0070349F"/>
    <w:rsid w:val="00703D6D"/>
    <w:rsid w:val="00703E2D"/>
    <w:rsid w:val="007055B2"/>
    <w:rsid w:val="0070576C"/>
    <w:rsid w:val="007057B9"/>
    <w:rsid w:val="0070587A"/>
    <w:rsid w:val="0070678B"/>
    <w:rsid w:val="007069B8"/>
    <w:rsid w:val="00707DAE"/>
    <w:rsid w:val="00707FD5"/>
    <w:rsid w:val="007108FC"/>
    <w:rsid w:val="00715706"/>
    <w:rsid w:val="00716F63"/>
    <w:rsid w:val="00716FDB"/>
    <w:rsid w:val="00717363"/>
    <w:rsid w:val="007177DA"/>
    <w:rsid w:val="00720BD7"/>
    <w:rsid w:val="007216B1"/>
    <w:rsid w:val="00722A01"/>
    <w:rsid w:val="00726841"/>
    <w:rsid w:val="00731D29"/>
    <w:rsid w:val="00732041"/>
    <w:rsid w:val="0073509C"/>
    <w:rsid w:val="00740002"/>
    <w:rsid w:val="00740184"/>
    <w:rsid w:val="007417F6"/>
    <w:rsid w:val="00744FCA"/>
    <w:rsid w:val="00746EF7"/>
    <w:rsid w:val="00747131"/>
    <w:rsid w:val="00750439"/>
    <w:rsid w:val="00751605"/>
    <w:rsid w:val="00752C55"/>
    <w:rsid w:val="00753004"/>
    <w:rsid w:val="00755E0B"/>
    <w:rsid w:val="00757826"/>
    <w:rsid w:val="00761E0C"/>
    <w:rsid w:val="00762B06"/>
    <w:rsid w:val="007631CF"/>
    <w:rsid w:val="00765926"/>
    <w:rsid w:val="00765B63"/>
    <w:rsid w:val="00766359"/>
    <w:rsid w:val="007705AF"/>
    <w:rsid w:val="00772692"/>
    <w:rsid w:val="0077443D"/>
    <w:rsid w:val="0077514D"/>
    <w:rsid w:val="00777DBF"/>
    <w:rsid w:val="00780120"/>
    <w:rsid w:val="007801FC"/>
    <w:rsid w:val="00783D1E"/>
    <w:rsid w:val="007840BE"/>
    <w:rsid w:val="00786456"/>
    <w:rsid w:val="00787A09"/>
    <w:rsid w:val="0079058C"/>
    <w:rsid w:val="0079096F"/>
    <w:rsid w:val="007947AE"/>
    <w:rsid w:val="007949A6"/>
    <w:rsid w:val="00794E23"/>
    <w:rsid w:val="00795D41"/>
    <w:rsid w:val="00796A56"/>
    <w:rsid w:val="007A2318"/>
    <w:rsid w:val="007A356A"/>
    <w:rsid w:val="007A35C3"/>
    <w:rsid w:val="007A5008"/>
    <w:rsid w:val="007A603F"/>
    <w:rsid w:val="007B3F8E"/>
    <w:rsid w:val="007C0075"/>
    <w:rsid w:val="007C133F"/>
    <w:rsid w:val="007C1818"/>
    <w:rsid w:val="007C2AC5"/>
    <w:rsid w:val="007C380D"/>
    <w:rsid w:val="007C4156"/>
    <w:rsid w:val="007C41EE"/>
    <w:rsid w:val="007C5CD7"/>
    <w:rsid w:val="007D118F"/>
    <w:rsid w:val="007D27A0"/>
    <w:rsid w:val="007D3D02"/>
    <w:rsid w:val="007D4A91"/>
    <w:rsid w:val="007D5A97"/>
    <w:rsid w:val="007D7C69"/>
    <w:rsid w:val="007E27F0"/>
    <w:rsid w:val="007E3D3C"/>
    <w:rsid w:val="007E4EC1"/>
    <w:rsid w:val="007E5789"/>
    <w:rsid w:val="007E68C1"/>
    <w:rsid w:val="007E6EE7"/>
    <w:rsid w:val="007F2958"/>
    <w:rsid w:val="007F4CA2"/>
    <w:rsid w:val="007F5EE1"/>
    <w:rsid w:val="00800D6C"/>
    <w:rsid w:val="008034EC"/>
    <w:rsid w:val="00804EB9"/>
    <w:rsid w:val="00805A0C"/>
    <w:rsid w:val="00805A70"/>
    <w:rsid w:val="00806F8B"/>
    <w:rsid w:val="00807E41"/>
    <w:rsid w:val="00814E51"/>
    <w:rsid w:val="00815918"/>
    <w:rsid w:val="0082590B"/>
    <w:rsid w:val="00827608"/>
    <w:rsid w:val="008328C2"/>
    <w:rsid w:val="00832C98"/>
    <w:rsid w:val="008337C5"/>
    <w:rsid w:val="0083413B"/>
    <w:rsid w:val="008345B4"/>
    <w:rsid w:val="0084004A"/>
    <w:rsid w:val="00840CD5"/>
    <w:rsid w:val="0084191B"/>
    <w:rsid w:val="00843C2B"/>
    <w:rsid w:val="0084615C"/>
    <w:rsid w:val="0084668A"/>
    <w:rsid w:val="00846B74"/>
    <w:rsid w:val="0085244D"/>
    <w:rsid w:val="008530CD"/>
    <w:rsid w:val="008541CF"/>
    <w:rsid w:val="008563B5"/>
    <w:rsid w:val="0085729A"/>
    <w:rsid w:val="008604C1"/>
    <w:rsid w:val="008615FD"/>
    <w:rsid w:val="00861E2C"/>
    <w:rsid w:val="00862360"/>
    <w:rsid w:val="00862815"/>
    <w:rsid w:val="0086465C"/>
    <w:rsid w:val="008660FE"/>
    <w:rsid w:val="0086739C"/>
    <w:rsid w:val="00867829"/>
    <w:rsid w:val="008726A4"/>
    <w:rsid w:val="00874B89"/>
    <w:rsid w:val="00875536"/>
    <w:rsid w:val="00880024"/>
    <w:rsid w:val="00880A23"/>
    <w:rsid w:val="00883E33"/>
    <w:rsid w:val="008842E0"/>
    <w:rsid w:val="00887446"/>
    <w:rsid w:val="00890442"/>
    <w:rsid w:val="00891263"/>
    <w:rsid w:val="0089260A"/>
    <w:rsid w:val="00892BF1"/>
    <w:rsid w:val="00893111"/>
    <w:rsid w:val="00893C97"/>
    <w:rsid w:val="008957A8"/>
    <w:rsid w:val="00896402"/>
    <w:rsid w:val="008965E6"/>
    <w:rsid w:val="00896D7C"/>
    <w:rsid w:val="00897B49"/>
    <w:rsid w:val="00897E5C"/>
    <w:rsid w:val="008A0E2F"/>
    <w:rsid w:val="008A1476"/>
    <w:rsid w:val="008A188F"/>
    <w:rsid w:val="008A1E85"/>
    <w:rsid w:val="008B67C2"/>
    <w:rsid w:val="008B766C"/>
    <w:rsid w:val="008B7D28"/>
    <w:rsid w:val="008C0FCD"/>
    <w:rsid w:val="008C3638"/>
    <w:rsid w:val="008C6D3D"/>
    <w:rsid w:val="008C70F8"/>
    <w:rsid w:val="008D0EBD"/>
    <w:rsid w:val="008D1AA1"/>
    <w:rsid w:val="008D1FAB"/>
    <w:rsid w:val="008D26BF"/>
    <w:rsid w:val="008D2C26"/>
    <w:rsid w:val="008D611A"/>
    <w:rsid w:val="008D6491"/>
    <w:rsid w:val="008E4877"/>
    <w:rsid w:val="008E58CC"/>
    <w:rsid w:val="008E6C17"/>
    <w:rsid w:val="008E71AF"/>
    <w:rsid w:val="008F08F1"/>
    <w:rsid w:val="008F3AE1"/>
    <w:rsid w:val="008F450C"/>
    <w:rsid w:val="008F4FF0"/>
    <w:rsid w:val="008F65EA"/>
    <w:rsid w:val="008F6ACC"/>
    <w:rsid w:val="008F7A83"/>
    <w:rsid w:val="008F7D2B"/>
    <w:rsid w:val="00902C18"/>
    <w:rsid w:val="009032ED"/>
    <w:rsid w:val="00912ABA"/>
    <w:rsid w:val="00913A6E"/>
    <w:rsid w:val="009148AC"/>
    <w:rsid w:val="00915BD7"/>
    <w:rsid w:val="009209CF"/>
    <w:rsid w:val="0092134A"/>
    <w:rsid w:val="00922DDB"/>
    <w:rsid w:val="009233B0"/>
    <w:rsid w:val="009243A6"/>
    <w:rsid w:val="009253D8"/>
    <w:rsid w:val="00931D40"/>
    <w:rsid w:val="00931F1A"/>
    <w:rsid w:val="009327A3"/>
    <w:rsid w:val="00932E66"/>
    <w:rsid w:val="009330C9"/>
    <w:rsid w:val="00934330"/>
    <w:rsid w:val="009359EA"/>
    <w:rsid w:val="00940E86"/>
    <w:rsid w:val="00944F9B"/>
    <w:rsid w:val="009463B5"/>
    <w:rsid w:val="0094654A"/>
    <w:rsid w:val="009519FC"/>
    <w:rsid w:val="00951DC4"/>
    <w:rsid w:val="0095206E"/>
    <w:rsid w:val="0095402C"/>
    <w:rsid w:val="00954908"/>
    <w:rsid w:val="00957611"/>
    <w:rsid w:val="009633D6"/>
    <w:rsid w:val="0096460E"/>
    <w:rsid w:val="0096534E"/>
    <w:rsid w:val="00965CC5"/>
    <w:rsid w:val="009745E0"/>
    <w:rsid w:val="009749C8"/>
    <w:rsid w:val="00974A7E"/>
    <w:rsid w:val="00976FAD"/>
    <w:rsid w:val="00977EA4"/>
    <w:rsid w:val="00980982"/>
    <w:rsid w:val="00983481"/>
    <w:rsid w:val="00983EF3"/>
    <w:rsid w:val="00986EE5"/>
    <w:rsid w:val="00986F37"/>
    <w:rsid w:val="00987A9B"/>
    <w:rsid w:val="00997FC1"/>
    <w:rsid w:val="009A26C3"/>
    <w:rsid w:val="009A329C"/>
    <w:rsid w:val="009A47D6"/>
    <w:rsid w:val="009A4D8A"/>
    <w:rsid w:val="009A5A5E"/>
    <w:rsid w:val="009A7996"/>
    <w:rsid w:val="009B3416"/>
    <w:rsid w:val="009B38B0"/>
    <w:rsid w:val="009B3F79"/>
    <w:rsid w:val="009C04F1"/>
    <w:rsid w:val="009C161C"/>
    <w:rsid w:val="009C6146"/>
    <w:rsid w:val="009D3A99"/>
    <w:rsid w:val="009D4B15"/>
    <w:rsid w:val="009D5165"/>
    <w:rsid w:val="009D6567"/>
    <w:rsid w:val="009E169C"/>
    <w:rsid w:val="009E29B0"/>
    <w:rsid w:val="009E426E"/>
    <w:rsid w:val="009E58E6"/>
    <w:rsid w:val="009E6B6B"/>
    <w:rsid w:val="009E7340"/>
    <w:rsid w:val="009E7A88"/>
    <w:rsid w:val="009F05C9"/>
    <w:rsid w:val="009F0A91"/>
    <w:rsid w:val="009F0BCD"/>
    <w:rsid w:val="009F11C0"/>
    <w:rsid w:val="009F14AB"/>
    <w:rsid w:val="009F161E"/>
    <w:rsid w:val="009F43C5"/>
    <w:rsid w:val="009F44F8"/>
    <w:rsid w:val="009F484C"/>
    <w:rsid w:val="009F4BBC"/>
    <w:rsid w:val="009F51F5"/>
    <w:rsid w:val="009F5247"/>
    <w:rsid w:val="009F549D"/>
    <w:rsid w:val="009F663B"/>
    <w:rsid w:val="009F6EA7"/>
    <w:rsid w:val="009F76E8"/>
    <w:rsid w:val="009F7CA9"/>
    <w:rsid w:val="00A00D40"/>
    <w:rsid w:val="00A0156C"/>
    <w:rsid w:val="00A06EDB"/>
    <w:rsid w:val="00A10241"/>
    <w:rsid w:val="00A13756"/>
    <w:rsid w:val="00A15943"/>
    <w:rsid w:val="00A16128"/>
    <w:rsid w:val="00A1696B"/>
    <w:rsid w:val="00A169C1"/>
    <w:rsid w:val="00A16A41"/>
    <w:rsid w:val="00A23621"/>
    <w:rsid w:val="00A249C7"/>
    <w:rsid w:val="00A252F5"/>
    <w:rsid w:val="00A25B92"/>
    <w:rsid w:val="00A30515"/>
    <w:rsid w:val="00A30542"/>
    <w:rsid w:val="00A33987"/>
    <w:rsid w:val="00A3457D"/>
    <w:rsid w:val="00A35D87"/>
    <w:rsid w:val="00A375D3"/>
    <w:rsid w:val="00A37C30"/>
    <w:rsid w:val="00A40F01"/>
    <w:rsid w:val="00A42109"/>
    <w:rsid w:val="00A4313A"/>
    <w:rsid w:val="00A433B7"/>
    <w:rsid w:val="00A44006"/>
    <w:rsid w:val="00A45D1C"/>
    <w:rsid w:val="00A45DBC"/>
    <w:rsid w:val="00A473AE"/>
    <w:rsid w:val="00A50293"/>
    <w:rsid w:val="00A51EA4"/>
    <w:rsid w:val="00A57DCF"/>
    <w:rsid w:val="00A606A5"/>
    <w:rsid w:val="00A62104"/>
    <w:rsid w:val="00A6456D"/>
    <w:rsid w:val="00A668D8"/>
    <w:rsid w:val="00A70CDF"/>
    <w:rsid w:val="00A70EFB"/>
    <w:rsid w:val="00A74CD1"/>
    <w:rsid w:val="00A75862"/>
    <w:rsid w:val="00A773C4"/>
    <w:rsid w:val="00A779D4"/>
    <w:rsid w:val="00A80DEB"/>
    <w:rsid w:val="00A81219"/>
    <w:rsid w:val="00A8148D"/>
    <w:rsid w:val="00A81C55"/>
    <w:rsid w:val="00A84D8E"/>
    <w:rsid w:val="00A86876"/>
    <w:rsid w:val="00A90C19"/>
    <w:rsid w:val="00A922F9"/>
    <w:rsid w:val="00A92740"/>
    <w:rsid w:val="00A94575"/>
    <w:rsid w:val="00A95091"/>
    <w:rsid w:val="00A97B4E"/>
    <w:rsid w:val="00AA05BA"/>
    <w:rsid w:val="00AA31F8"/>
    <w:rsid w:val="00AA43F4"/>
    <w:rsid w:val="00AA48B7"/>
    <w:rsid w:val="00AA490A"/>
    <w:rsid w:val="00AA5A55"/>
    <w:rsid w:val="00AA5AE7"/>
    <w:rsid w:val="00AA5FF6"/>
    <w:rsid w:val="00AA63A9"/>
    <w:rsid w:val="00AA70AE"/>
    <w:rsid w:val="00AA78D1"/>
    <w:rsid w:val="00AB0F9C"/>
    <w:rsid w:val="00AB5E8E"/>
    <w:rsid w:val="00AB78FA"/>
    <w:rsid w:val="00AC048F"/>
    <w:rsid w:val="00AC09A6"/>
    <w:rsid w:val="00AC1C0B"/>
    <w:rsid w:val="00AC24DA"/>
    <w:rsid w:val="00AC3206"/>
    <w:rsid w:val="00AC34C2"/>
    <w:rsid w:val="00AC4169"/>
    <w:rsid w:val="00AC5306"/>
    <w:rsid w:val="00AC5F00"/>
    <w:rsid w:val="00AC6269"/>
    <w:rsid w:val="00AC762B"/>
    <w:rsid w:val="00AC770B"/>
    <w:rsid w:val="00AC779B"/>
    <w:rsid w:val="00AD0D63"/>
    <w:rsid w:val="00AD0D90"/>
    <w:rsid w:val="00AD1934"/>
    <w:rsid w:val="00AD29A5"/>
    <w:rsid w:val="00AD2ADB"/>
    <w:rsid w:val="00AD34F1"/>
    <w:rsid w:val="00AD3CB1"/>
    <w:rsid w:val="00AD5504"/>
    <w:rsid w:val="00AD617F"/>
    <w:rsid w:val="00AD6350"/>
    <w:rsid w:val="00AE4668"/>
    <w:rsid w:val="00AE4DDA"/>
    <w:rsid w:val="00AE5831"/>
    <w:rsid w:val="00AE5932"/>
    <w:rsid w:val="00AE5DF3"/>
    <w:rsid w:val="00AE6CA3"/>
    <w:rsid w:val="00AE7A49"/>
    <w:rsid w:val="00AF1635"/>
    <w:rsid w:val="00AF295B"/>
    <w:rsid w:val="00AF35B0"/>
    <w:rsid w:val="00AF36D3"/>
    <w:rsid w:val="00AF4BA4"/>
    <w:rsid w:val="00AF6E6E"/>
    <w:rsid w:val="00B001B7"/>
    <w:rsid w:val="00B0142C"/>
    <w:rsid w:val="00B0144F"/>
    <w:rsid w:val="00B04205"/>
    <w:rsid w:val="00B05F27"/>
    <w:rsid w:val="00B11AD1"/>
    <w:rsid w:val="00B13FA0"/>
    <w:rsid w:val="00B218B0"/>
    <w:rsid w:val="00B23EF7"/>
    <w:rsid w:val="00B2494A"/>
    <w:rsid w:val="00B25E5C"/>
    <w:rsid w:val="00B265FC"/>
    <w:rsid w:val="00B313D9"/>
    <w:rsid w:val="00B314E3"/>
    <w:rsid w:val="00B32082"/>
    <w:rsid w:val="00B3359A"/>
    <w:rsid w:val="00B33CF1"/>
    <w:rsid w:val="00B359B1"/>
    <w:rsid w:val="00B361E4"/>
    <w:rsid w:val="00B372EE"/>
    <w:rsid w:val="00B373F0"/>
    <w:rsid w:val="00B37B8A"/>
    <w:rsid w:val="00B404A0"/>
    <w:rsid w:val="00B44344"/>
    <w:rsid w:val="00B4520D"/>
    <w:rsid w:val="00B46852"/>
    <w:rsid w:val="00B46F6B"/>
    <w:rsid w:val="00B510EA"/>
    <w:rsid w:val="00B51897"/>
    <w:rsid w:val="00B52DEF"/>
    <w:rsid w:val="00B55C48"/>
    <w:rsid w:val="00B64272"/>
    <w:rsid w:val="00B6624D"/>
    <w:rsid w:val="00B675EF"/>
    <w:rsid w:val="00B7381C"/>
    <w:rsid w:val="00B7457A"/>
    <w:rsid w:val="00B74C56"/>
    <w:rsid w:val="00B8020F"/>
    <w:rsid w:val="00B81736"/>
    <w:rsid w:val="00B81888"/>
    <w:rsid w:val="00B8229B"/>
    <w:rsid w:val="00B82640"/>
    <w:rsid w:val="00B859DF"/>
    <w:rsid w:val="00B8734A"/>
    <w:rsid w:val="00B8736E"/>
    <w:rsid w:val="00B9137B"/>
    <w:rsid w:val="00B91A3F"/>
    <w:rsid w:val="00B928E9"/>
    <w:rsid w:val="00B9480F"/>
    <w:rsid w:val="00B951C1"/>
    <w:rsid w:val="00B95EA3"/>
    <w:rsid w:val="00B971D9"/>
    <w:rsid w:val="00B9740F"/>
    <w:rsid w:val="00B97D3E"/>
    <w:rsid w:val="00BA0320"/>
    <w:rsid w:val="00BA139D"/>
    <w:rsid w:val="00BA38AC"/>
    <w:rsid w:val="00BA530E"/>
    <w:rsid w:val="00BA54DD"/>
    <w:rsid w:val="00BA54F5"/>
    <w:rsid w:val="00BA7DB1"/>
    <w:rsid w:val="00BB0A6F"/>
    <w:rsid w:val="00BB14C8"/>
    <w:rsid w:val="00BB3BBE"/>
    <w:rsid w:val="00BB6E25"/>
    <w:rsid w:val="00BC07F9"/>
    <w:rsid w:val="00BC0908"/>
    <w:rsid w:val="00BC1DAE"/>
    <w:rsid w:val="00BC22A8"/>
    <w:rsid w:val="00BC3819"/>
    <w:rsid w:val="00BC4950"/>
    <w:rsid w:val="00BC572E"/>
    <w:rsid w:val="00BC75DD"/>
    <w:rsid w:val="00BD1616"/>
    <w:rsid w:val="00BD163A"/>
    <w:rsid w:val="00BD726B"/>
    <w:rsid w:val="00BD7EA0"/>
    <w:rsid w:val="00BE0104"/>
    <w:rsid w:val="00BE02A4"/>
    <w:rsid w:val="00BE0D17"/>
    <w:rsid w:val="00BE1E91"/>
    <w:rsid w:val="00BE22B6"/>
    <w:rsid w:val="00BE47B9"/>
    <w:rsid w:val="00BF1F55"/>
    <w:rsid w:val="00BF3C4A"/>
    <w:rsid w:val="00BF5D8C"/>
    <w:rsid w:val="00BF7FA3"/>
    <w:rsid w:val="00C047B7"/>
    <w:rsid w:val="00C06746"/>
    <w:rsid w:val="00C06CCA"/>
    <w:rsid w:val="00C12E22"/>
    <w:rsid w:val="00C1415A"/>
    <w:rsid w:val="00C15792"/>
    <w:rsid w:val="00C20439"/>
    <w:rsid w:val="00C20B6C"/>
    <w:rsid w:val="00C2123E"/>
    <w:rsid w:val="00C21FE5"/>
    <w:rsid w:val="00C24A11"/>
    <w:rsid w:val="00C258D2"/>
    <w:rsid w:val="00C261F1"/>
    <w:rsid w:val="00C30B4E"/>
    <w:rsid w:val="00C30CF8"/>
    <w:rsid w:val="00C31FE7"/>
    <w:rsid w:val="00C32DD5"/>
    <w:rsid w:val="00C4500A"/>
    <w:rsid w:val="00C45FDF"/>
    <w:rsid w:val="00C47158"/>
    <w:rsid w:val="00C51E57"/>
    <w:rsid w:val="00C53955"/>
    <w:rsid w:val="00C5730C"/>
    <w:rsid w:val="00C62159"/>
    <w:rsid w:val="00C65935"/>
    <w:rsid w:val="00C661EE"/>
    <w:rsid w:val="00C670B3"/>
    <w:rsid w:val="00C67127"/>
    <w:rsid w:val="00C678A6"/>
    <w:rsid w:val="00C67FC9"/>
    <w:rsid w:val="00C72B83"/>
    <w:rsid w:val="00C72BAD"/>
    <w:rsid w:val="00C746E1"/>
    <w:rsid w:val="00C754FB"/>
    <w:rsid w:val="00C800E7"/>
    <w:rsid w:val="00C80FE1"/>
    <w:rsid w:val="00C851DD"/>
    <w:rsid w:val="00C87520"/>
    <w:rsid w:val="00C92B3F"/>
    <w:rsid w:val="00C931CF"/>
    <w:rsid w:val="00C9384C"/>
    <w:rsid w:val="00C9558F"/>
    <w:rsid w:val="00C95AA2"/>
    <w:rsid w:val="00C96EC7"/>
    <w:rsid w:val="00C97037"/>
    <w:rsid w:val="00CA01B7"/>
    <w:rsid w:val="00CA052B"/>
    <w:rsid w:val="00CA0E5E"/>
    <w:rsid w:val="00CA2029"/>
    <w:rsid w:val="00CA321C"/>
    <w:rsid w:val="00CA4752"/>
    <w:rsid w:val="00CA47E5"/>
    <w:rsid w:val="00CA4B57"/>
    <w:rsid w:val="00CA540C"/>
    <w:rsid w:val="00CA549C"/>
    <w:rsid w:val="00CA6534"/>
    <w:rsid w:val="00CA6655"/>
    <w:rsid w:val="00CB0069"/>
    <w:rsid w:val="00CB34EE"/>
    <w:rsid w:val="00CB3765"/>
    <w:rsid w:val="00CB498B"/>
    <w:rsid w:val="00CB55A4"/>
    <w:rsid w:val="00CB62EA"/>
    <w:rsid w:val="00CB640B"/>
    <w:rsid w:val="00CB731E"/>
    <w:rsid w:val="00CC222C"/>
    <w:rsid w:val="00CC248F"/>
    <w:rsid w:val="00CC4128"/>
    <w:rsid w:val="00CC6179"/>
    <w:rsid w:val="00CD0DC5"/>
    <w:rsid w:val="00CD2629"/>
    <w:rsid w:val="00CD2904"/>
    <w:rsid w:val="00CD439F"/>
    <w:rsid w:val="00CD61A1"/>
    <w:rsid w:val="00CE0E62"/>
    <w:rsid w:val="00CE14CD"/>
    <w:rsid w:val="00CE3B81"/>
    <w:rsid w:val="00CE564A"/>
    <w:rsid w:val="00CE56E9"/>
    <w:rsid w:val="00CE66A2"/>
    <w:rsid w:val="00CE7CF7"/>
    <w:rsid w:val="00CF066F"/>
    <w:rsid w:val="00CF075E"/>
    <w:rsid w:val="00CF40FB"/>
    <w:rsid w:val="00CF4241"/>
    <w:rsid w:val="00CF517D"/>
    <w:rsid w:val="00CF5A32"/>
    <w:rsid w:val="00CF6D09"/>
    <w:rsid w:val="00D020D6"/>
    <w:rsid w:val="00D02596"/>
    <w:rsid w:val="00D03C75"/>
    <w:rsid w:val="00D03F7F"/>
    <w:rsid w:val="00D05377"/>
    <w:rsid w:val="00D07288"/>
    <w:rsid w:val="00D07A01"/>
    <w:rsid w:val="00D07BCC"/>
    <w:rsid w:val="00D10720"/>
    <w:rsid w:val="00D10BF5"/>
    <w:rsid w:val="00D1123C"/>
    <w:rsid w:val="00D13635"/>
    <w:rsid w:val="00D14559"/>
    <w:rsid w:val="00D153DC"/>
    <w:rsid w:val="00D167AC"/>
    <w:rsid w:val="00D17441"/>
    <w:rsid w:val="00D177FA"/>
    <w:rsid w:val="00D25CF7"/>
    <w:rsid w:val="00D2658B"/>
    <w:rsid w:val="00D27ADF"/>
    <w:rsid w:val="00D33C77"/>
    <w:rsid w:val="00D36E4D"/>
    <w:rsid w:val="00D42046"/>
    <w:rsid w:val="00D42210"/>
    <w:rsid w:val="00D42B82"/>
    <w:rsid w:val="00D45008"/>
    <w:rsid w:val="00D45185"/>
    <w:rsid w:val="00D507BD"/>
    <w:rsid w:val="00D5125D"/>
    <w:rsid w:val="00D51A1A"/>
    <w:rsid w:val="00D55B16"/>
    <w:rsid w:val="00D62CC8"/>
    <w:rsid w:val="00D630C8"/>
    <w:rsid w:val="00D630CC"/>
    <w:rsid w:val="00D6367A"/>
    <w:rsid w:val="00D63818"/>
    <w:rsid w:val="00D64C75"/>
    <w:rsid w:val="00D655A0"/>
    <w:rsid w:val="00D656A9"/>
    <w:rsid w:val="00D65ABF"/>
    <w:rsid w:val="00D67EAF"/>
    <w:rsid w:val="00D70D46"/>
    <w:rsid w:val="00D71F57"/>
    <w:rsid w:val="00D720FE"/>
    <w:rsid w:val="00D7541A"/>
    <w:rsid w:val="00D75E7D"/>
    <w:rsid w:val="00D77672"/>
    <w:rsid w:val="00D77F82"/>
    <w:rsid w:val="00D839EC"/>
    <w:rsid w:val="00D8583C"/>
    <w:rsid w:val="00D95571"/>
    <w:rsid w:val="00D956AE"/>
    <w:rsid w:val="00D95CF4"/>
    <w:rsid w:val="00D961E4"/>
    <w:rsid w:val="00D97D12"/>
    <w:rsid w:val="00DA24CD"/>
    <w:rsid w:val="00DA2CB1"/>
    <w:rsid w:val="00DA31B0"/>
    <w:rsid w:val="00DA36D2"/>
    <w:rsid w:val="00DA435B"/>
    <w:rsid w:val="00DA48C5"/>
    <w:rsid w:val="00DB0F87"/>
    <w:rsid w:val="00DB16C6"/>
    <w:rsid w:val="00DB2683"/>
    <w:rsid w:val="00DB320D"/>
    <w:rsid w:val="00DB3345"/>
    <w:rsid w:val="00DB3D31"/>
    <w:rsid w:val="00DB6A4A"/>
    <w:rsid w:val="00DC0A09"/>
    <w:rsid w:val="00DC302B"/>
    <w:rsid w:val="00DC3698"/>
    <w:rsid w:val="00DD0DAE"/>
    <w:rsid w:val="00DD11B3"/>
    <w:rsid w:val="00DD1707"/>
    <w:rsid w:val="00DD18CC"/>
    <w:rsid w:val="00DD1B77"/>
    <w:rsid w:val="00DD36A2"/>
    <w:rsid w:val="00DD4712"/>
    <w:rsid w:val="00DD5D16"/>
    <w:rsid w:val="00DD6B8F"/>
    <w:rsid w:val="00DD7423"/>
    <w:rsid w:val="00DE29DE"/>
    <w:rsid w:val="00DE2E2C"/>
    <w:rsid w:val="00DE456A"/>
    <w:rsid w:val="00DE4DD8"/>
    <w:rsid w:val="00DE50DF"/>
    <w:rsid w:val="00DE51BB"/>
    <w:rsid w:val="00DE6386"/>
    <w:rsid w:val="00DF24D7"/>
    <w:rsid w:val="00DF42C5"/>
    <w:rsid w:val="00DF4C43"/>
    <w:rsid w:val="00DF61DF"/>
    <w:rsid w:val="00E00365"/>
    <w:rsid w:val="00E006BA"/>
    <w:rsid w:val="00E02FB7"/>
    <w:rsid w:val="00E03234"/>
    <w:rsid w:val="00E03389"/>
    <w:rsid w:val="00E04030"/>
    <w:rsid w:val="00E04ED9"/>
    <w:rsid w:val="00E0589E"/>
    <w:rsid w:val="00E06519"/>
    <w:rsid w:val="00E1042B"/>
    <w:rsid w:val="00E110A9"/>
    <w:rsid w:val="00E11411"/>
    <w:rsid w:val="00E12BA5"/>
    <w:rsid w:val="00E2141F"/>
    <w:rsid w:val="00E22B5D"/>
    <w:rsid w:val="00E23EF6"/>
    <w:rsid w:val="00E269F6"/>
    <w:rsid w:val="00E2769F"/>
    <w:rsid w:val="00E30F16"/>
    <w:rsid w:val="00E35DA3"/>
    <w:rsid w:val="00E364AA"/>
    <w:rsid w:val="00E36666"/>
    <w:rsid w:val="00E37849"/>
    <w:rsid w:val="00E37BAE"/>
    <w:rsid w:val="00E463AC"/>
    <w:rsid w:val="00E528E4"/>
    <w:rsid w:val="00E53747"/>
    <w:rsid w:val="00E54612"/>
    <w:rsid w:val="00E56333"/>
    <w:rsid w:val="00E56FC4"/>
    <w:rsid w:val="00E571F6"/>
    <w:rsid w:val="00E573BA"/>
    <w:rsid w:val="00E5798E"/>
    <w:rsid w:val="00E60C65"/>
    <w:rsid w:val="00E615D0"/>
    <w:rsid w:val="00E63BB4"/>
    <w:rsid w:val="00E668EB"/>
    <w:rsid w:val="00E70F6D"/>
    <w:rsid w:val="00E72528"/>
    <w:rsid w:val="00E736C6"/>
    <w:rsid w:val="00E73D13"/>
    <w:rsid w:val="00E74CDE"/>
    <w:rsid w:val="00E81F6D"/>
    <w:rsid w:val="00E82773"/>
    <w:rsid w:val="00E8768B"/>
    <w:rsid w:val="00E91D0B"/>
    <w:rsid w:val="00E93431"/>
    <w:rsid w:val="00E95130"/>
    <w:rsid w:val="00E959AA"/>
    <w:rsid w:val="00E97152"/>
    <w:rsid w:val="00EA4C42"/>
    <w:rsid w:val="00EA6F9F"/>
    <w:rsid w:val="00EA74CC"/>
    <w:rsid w:val="00EC11BE"/>
    <w:rsid w:val="00EC3291"/>
    <w:rsid w:val="00EC3369"/>
    <w:rsid w:val="00EC6048"/>
    <w:rsid w:val="00EC6F84"/>
    <w:rsid w:val="00ED029C"/>
    <w:rsid w:val="00ED06A5"/>
    <w:rsid w:val="00ED120D"/>
    <w:rsid w:val="00ED20AF"/>
    <w:rsid w:val="00ED4638"/>
    <w:rsid w:val="00ED5098"/>
    <w:rsid w:val="00EE026A"/>
    <w:rsid w:val="00EE0489"/>
    <w:rsid w:val="00EE2F63"/>
    <w:rsid w:val="00EE57BC"/>
    <w:rsid w:val="00EE6623"/>
    <w:rsid w:val="00EE7780"/>
    <w:rsid w:val="00EE7873"/>
    <w:rsid w:val="00EE7A77"/>
    <w:rsid w:val="00EF09AC"/>
    <w:rsid w:val="00EF1B24"/>
    <w:rsid w:val="00EF1E68"/>
    <w:rsid w:val="00EF2399"/>
    <w:rsid w:val="00EF24A0"/>
    <w:rsid w:val="00EF4982"/>
    <w:rsid w:val="00EF63ED"/>
    <w:rsid w:val="00EF7F85"/>
    <w:rsid w:val="00F00629"/>
    <w:rsid w:val="00F0142A"/>
    <w:rsid w:val="00F0203A"/>
    <w:rsid w:val="00F06250"/>
    <w:rsid w:val="00F10930"/>
    <w:rsid w:val="00F10C3B"/>
    <w:rsid w:val="00F110B6"/>
    <w:rsid w:val="00F1460F"/>
    <w:rsid w:val="00F15D89"/>
    <w:rsid w:val="00F17100"/>
    <w:rsid w:val="00F258E9"/>
    <w:rsid w:val="00F3162C"/>
    <w:rsid w:val="00F320CF"/>
    <w:rsid w:val="00F329BD"/>
    <w:rsid w:val="00F35F09"/>
    <w:rsid w:val="00F37A98"/>
    <w:rsid w:val="00F434D1"/>
    <w:rsid w:val="00F460B6"/>
    <w:rsid w:val="00F46488"/>
    <w:rsid w:val="00F5154F"/>
    <w:rsid w:val="00F539F0"/>
    <w:rsid w:val="00F54DA3"/>
    <w:rsid w:val="00F550BD"/>
    <w:rsid w:val="00F5527B"/>
    <w:rsid w:val="00F5539E"/>
    <w:rsid w:val="00F55C34"/>
    <w:rsid w:val="00F578B3"/>
    <w:rsid w:val="00F5791F"/>
    <w:rsid w:val="00F618BE"/>
    <w:rsid w:val="00F6221B"/>
    <w:rsid w:val="00F633D9"/>
    <w:rsid w:val="00F6419E"/>
    <w:rsid w:val="00F65577"/>
    <w:rsid w:val="00F67056"/>
    <w:rsid w:val="00F67A1C"/>
    <w:rsid w:val="00F67F35"/>
    <w:rsid w:val="00F7031E"/>
    <w:rsid w:val="00F70EFE"/>
    <w:rsid w:val="00F7130C"/>
    <w:rsid w:val="00F725CE"/>
    <w:rsid w:val="00F736E7"/>
    <w:rsid w:val="00F7593C"/>
    <w:rsid w:val="00F763E1"/>
    <w:rsid w:val="00F76B63"/>
    <w:rsid w:val="00F7787F"/>
    <w:rsid w:val="00F778ED"/>
    <w:rsid w:val="00F80176"/>
    <w:rsid w:val="00F803CA"/>
    <w:rsid w:val="00F80740"/>
    <w:rsid w:val="00F8589E"/>
    <w:rsid w:val="00F862E5"/>
    <w:rsid w:val="00F87955"/>
    <w:rsid w:val="00F91087"/>
    <w:rsid w:val="00F91DF7"/>
    <w:rsid w:val="00F92648"/>
    <w:rsid w:val="00F93B62"/>
    <w:rsid w:val="00F93FFA"/>
    <w:rsid w:val="00F94535"/>
    <w:rsid w:val="00F94E0B"/>
    <w:rsid w:val="00F959CE"/>
    <w:rsid w:val="00F96162"/>
    <w:rsid w:val="00F97774"/>
    <w:rsid w:val="00F9786B"/>
    <w:rsid w:val="00FA0E55"/>
    <w:rsid w:val="00FA10C8"/>
    <w:rsid w:val="00FA24A0"/>
    <w:rsid w:val="00FA2904"/>
    <w:rsid w:val="00FA29D5"/>
    <w:rsid w:val="00FA2DA2"/>
    <w:rsid w:val="00FA4C61"/>
    <w:rsid w:val="00FA72BE"/>
    <w:rsid w:val="00FA7765"/>
    <w:rsid w:val="00FB22FA"/>
    <w:rsid w:val="00FB27CF"/>
    <w:rsid w:val="00FB3226"/>
    <w:rsid w:val="00FB41D4"/>
    <w:rsid w:val="00FB5770"/>
    <w:rsid w:val="00FB5852"/>
    <w:rsid w:val="00FC2E30"/>
    <w:rsid w:val="00FC3238"/>
    <w:rsid w:val="00FC3ADA"/>
    <w:rsid w:val="00FC583F"/>
    <w:rsid w:val="00FC66F1"/>
    <w:rsid w:val="00FC74A9"/>
    <w:rsid w:val="00FD2B3B"/>
    <w:rsid w:val="00FD304E"/>
    <w:rsid w:val="00FD366E"/>
    <w:rsid w:val="00FD5ABE"/>
    <w:rsid w:val="00FD5C1B"/>
    <w:rsid w:val="00FD60CD"/>
    <w:rsid w:val="00FD63C0"/>
    <w:rsid w:val="00FD7C06"/>
    <w:rsid w:val="00FE218B"/>
    <w:rsid w:val="00FE21C8"/>
    <w:rsid w:val="00FE2239"/>
    <w:rsid w:val="00FE486C"/>
    <w:rsid w:val="00FE5DF0"/>
    <w:rsid w:val="00FE70EF"/>
    <w:rsid w:val="00FE71BB"/>
    <w:rsid w:val="00FE72CF"/>
    <w:rsid w:val="00FF022F"/>
    <w:rsid w:val="00FF0D47"/>
    <w:rsid w:val="00FF1AC3"/>
    <w:rsid w:val="00FF4C8F"/>
    <w:rsid w:val="00FF4F81"/>
    <w:rsid w:val="00FF6A1D"/>
    <w:rsid w:val="00FF79BE"/>
    <w:rsid w:val="010E1584"/>
    <w:rsid w:val="011E7EB5"/>
    <w:rsid w:val="01463927"/>
    <w:rsid w:val="0238380B"/>
    <w:rsid w:val="02A204E8"/>
    <w:rsid w:val="02F72C87"/>
    <w:rsid w:val="03DC5E2C"/>
    <w:rsid w:val="0468117A"/>
    <w:rsid w:val="048141B5"/>
    <w:rsid w:val="053F4CF5"/>
    <w:rsid w:val="05513EAC"/>
    <w:rsid w:val="05F92140"/>
    <w:rsid w:val="061D302A"/>
    <w:rsid w:val="06912ED7"/>
    <w:rsid w:val="06981169"/>
    <w:rsid w:val="06CF0F77"/>
    <w:rsid w:val="070545ED"/>
    <w:rsid w:val="0774088B"/>
    <w:rsid w:val="07F56324"/>
    <w:rsid w:val="08A30618"/>
    <w:rsid w:val="090432D1"/>
    <w:rsid w:val="0B1424C7"/>
    <w:rsid w:val="0BE70B78"/>
    <w:rsid w:val="0CD3502A"/>
    <w:rsid w:val="0DF43678"/>
    <w:rsid w:val="0F6D6207"/>
    <w:rsid w:val="105E56A7"/>
    <w:rsid w:val="10C1539B"/>
    <w:rsid w:val="10FB7351"/>
    <w:rsid w:val="127A55C3"/>
    <w:rsid w:val="127B3466"/>
    <w:rsid w:val="12834528"/>
    <w:rsid w:val="12C06E94"/>
    <w:rsid w:val="12D21513"/>
    <w:rsid w:val="131F2E16"/>
    <w:rsid w:val="13F555FD"/>
    <w:rsid w:val="1466494E"/>
    <w:rsid w:val="14CE4A8E"/>
    <w:rsid w:val="14DF1FB4"/>
    <w:rsid w:val="15272666"/>
    <w:rsid w:val="1608003C"/>
    <w:rsid w:val="17163A64"/>
    <w:rsid w:val="17771C3F"/>
    <w:rsid w:val="17987CFF"/>
    <w:rsid w:val="17BE62B4"/>
    <w:rsid w:val="17D07ADC"/>
    <w:rsid w:val="17E90135"/>
    <w:rsid w:val="197079A4"/>
    <w:rsid w:val="1A377560"/>
    <w:rsid w:val="1A656945"/>
    <w:rsid w:val="1B394FF1"/>
    <w:rsid w:val="1C9B2BEC"/>
    <w:rsid w:val="1D05784A"/>
    <w:rsid w:val="1D8D4D15"/>
    <w:rsid w:val="1E1822D2"/>
    <w:rsid w:val="1F0D26A4"/>
    <w:rsid w:val="20822FAB"/>
    <w:rsid w:val="21137F8F"/>
    <w:rsid w:val="21297831"/>
    <w:rsid w:val="21812911"/>
    <w:rsid w:val="2186178A"/>
    <w:rsid w:val="227F7113"/>
    <w:rsid w:val="22CF0F9B"/>
    <w:rsid w:val="24AF2E2B"/>
    <w:rsid w:val="24F45CC2"/>
    <w:rsid w:val="26A00999"/>
    <w:rsid w:val="27F42809"/>
    <w:rsid w:val="292970D3"/>
    <w:rsid w:val="292B0D01"/>
    <w:rsid w:val="298C4D40"/>
    <w:rsid w:val="2B0E49D6"/>
    <w:rsid w:val="2BDB646C"/>
    <w:rsid w:val="2BED41A4"/>
    <w:rsid w:val="2C3C1CC1"/>
    <w:rsid w:val="2C516649"/>
    <w:rsid w:val="2D780E1F"/>
    <w:rsid w:val="2D824C8F"/>
    <w:rsid w:val="2D8414AE"/>
    <w:rsid w:val="2E3A270F"/>
    <w:rsid w:val="2EA17C12"/>
    <w:rsid w:val="2F4E63B8"/>
    <w:rsid w:val="304E6737"/>
    <w:rsid w:val="30585C79"/>
    <w:rsid w:val="30B00F0E"/>
    <w:rsid w:val="30E1180E"/>
    <w:rsid w:val="31202718"/>
    <w:rsid w:val="31685E78"/>
    <w:rsid w:val="31761A3B"/>
    <w:rsid w:val="31B8019E"/>
    <w:rsid w:val="32C27491"/>
    <w:rsid w:val="32DE659D"/>
    <w:rsid w:val="3333494D"/>
    <w:rsid w:val="342D6F23"/>
    <w:rsid w:val="343F699B"/>
    <w:rsid w:val="35061407"/>
    <w:rsid w:val="351D6483"/>
    <w:rsid w:val="37534845"/>
    <w:rsid w:val="37A76595"/>
    <w:rsid w:val="382D1FBF"/>
    <w:rsid w:val="38E85787"/>
    <w:rsid w:val="3936147B"/>
    <w:rsid w:val="3A515AA1"/>
    <w:rsid w:val="3A747D78"/>
    <w:rsid w:val="3B69567B"/>
    <w:rsid w:val="3B6C4225"/>
    <w:rsid w:val="3E5E318E"/>
    <w:rsid w:val="3EEC70A8"/>
    <w:rsid w:val="3EFE09B6"/>
    <w:rsid w:val="3F9A0C59"/>
    <w:rsid w:val="409317C2"/>
    <w:rsid w:val="40A5146D"/>
    <w:rsid w:val="40DE26CF"/>
    <w:rsid w:val="422F6C96"/>
    <w:rsid w:val="425C4AF4"/>
    <w:rsid w:val="42D12393"/>
    <w:rsid w:val="431046B3"/>
    <w:rsid w:val="44946751"/>
    <w:rsid w:val="46551EB5"/>
    <w:rsid w:val="4735749D"/>
    <w:rsid w:val="47E757B9"/>
    <w:rsid w:val="47F00D50"/>
    <w:rsid w:val="49630B23"/>
    <w:rsid w:val="49783102"/>
    <w:rsid w:val="4A151C18"/>
    <w:rsid w:val="4C484CBA"/>
    <w:rsid w:val="4C6749D1"/>
    <w:rsid w:val="4CDF5847"/>
    <w:rsid w:val="4DC54E88"/>
    <w:rsid w:val="4EFE161B"/>
    <w:rsid w:val="4F375B63"/>
    <w:rsid w:val="4FEC3AA5"/>
    <w:rsid w:val="5289351B"/>
    <w:rsid w:val="52B04955"/>
    <w:rsid w:val="52BD4000"/>
    <w:rsid w:val="53410CEA"/>
    <w:rsid w:val="53531E91"/>
    <w:rsid w:val="54390C9E"/>
    <w:rsid w:val="54531E06"/>
    <w:rsid w:val="54BF70F5"/>
    <w:rsid w:val="54EC6BB6"/>
    <w:rsid w:val="54F92217"/>
    <w:rsid w:val="550D1B7E"/>
    <w:rsid w:val="552F5E39"/>
    <w:rsid w:val="553E464F"/>
    <w:rsid w:val="5557215B"/>
    <w:rsid w:val="55A21832"/>
    <w:rsid w:val="55A40102"/>
    <w:rsid w:val="55C51D05"/>
    <w:rsid w:val="55E2639D"/>
    <w:rsid w:val="560F24E8"/>
    <w:rsid w:val="56127144"/>
    <w:rsid w:val="56250C58"/>
    <w:rsid w:val="5831447A"/>
    <w:rsid w:val="583919EA"/>
    <w:rsid w:val="591B4F5E"/>
    <w:rsid w:val="5958148A"/>
    <w:rsid w:val="59593F87"/>
    <w:rsid w:val="5A710B97"/>
    <w:rsid w:val="5A8B1F47"/>
    <w:rsid w:val="5ABE4700"/>
    <w:rsid w:val="5BCD1AC0"/>
    <w:rsid w:val="5C590572"/>
    <w:rsid w:val="5C7D4D5F"/>
    <w:rsid w:val="5E021D62"/>
    <w:rsid w:val="5E0817EF"/>
    <w:rsid w:val="5ED7195C"/>
    <w:rsid w:val="5F1B2F9A"/>
    <w:rsid w:val="5F5338E3"/>
    <w:rsid w:val="5F6065BE"/>
    <w:rsid w:val="5F93686E"/>
    <w:rsid w:val="61120081"/>
    <w:rsid w:val="615B218B"/>
    <w:rsid w:val="63034CF4"/>
    <w:rsid w:val="635C5FFE"/>
    <w:rsid w:val="64841A2F"/>
    <w:rsid w:val="64D7058B"/>
    <w:rsid w:val="652B3D20"/>
    <w:rsid w:val="665F08A9"/>
    <w:rsid w:val="66C43CE8"/>
    <w:rsid w:val="673A72BF"/>
    <w:rsid w:val="674A1D75"/>
    <w:rsid w:val="68C8512C"/>
    <w:rsid w:val="697318F9"/>
    <w:rsid w:val="69F615B2"/>
    <w:rsid w:val="69FA10B6"/>
    <w:rsid w:val="6AD4484B"/>
    <w:rsid w:val="6ADB4254"/>
    <w:rsid w:val="6B433087"/>
    <w:rsid w:val="6BEE4736"/>
    <w:rsid w:val="6D90354E"/>
    <w:rsid w:val="6DEB7F4A"/>
    <w:rsid w:val="6E1A0B58"/>
    <w:rsid w:val="6E454CC8"/>
    <w:rsid w:val="6EF53EB9"/>
    <w:rsid w:val="6FBB2938"/>
    <w:rsid w:val="701561D5"/>
    <w:rsid w:val="70712CFA"/>
    <w:rsid w:val="714D1B8A"/>
    <w:rsid w:val="71680C45"/>
    <w:rsid w:val="728478AE"/>
    <w:rsid w:val="72896771"/>
    <w:rsid w:val="739500AB"/>
    <w:rsid w:val="73B310A8"/>
    <w:rsid w:val="73DF1806"/>
    <w:rsid w:val="75E163FB"/>
    <w:rsid w:val="76560F66"/>
    <w:rsid w:val="76F5130E"/>
    <w:rsid w:val="77435A7B"/>
    <w:rsid w:val="78355EF8"/>
    <w:rsid w:val="783D71F7"/>
    <w:rsid w:val="78621334"/>
    <w:rsid w:val="79005ACA"/>
    <w:rsid w:val="791F3B7A"/>
    <w:rsid w:val="792A763F"/>
    <w:rsid w:val="797F30ED"/>
    <w:rsid w:val="7A20592E"/>
    <w:rsid w:val="7A4B0EF9"/>
    <w:rsid w:val="7AF7198A"/>
    <w:rsid w:val="7B2528B4"/>
    <w:rsid w:val="7B6E7F47"/>
    <w:rsid w:val="7B7F4BDD"/>
    <w:rsid w:val="7C476646"/>
    <w:rsid w:val="7C9C7D26"/>
    <w:rsid w:val="7CD863A8"/>
    <w:rsid w:val="7EED52BE"/>
    <w:rsid w:val="7EF27C73"/>
    <w:rsid w:val="7F4D6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ascii="Times New Roman" w:hAnsi="Times New Roman" w:eastAsia="宋体" w:cstheme="minorBidi"/>
      <w:kern w:val="2"/>
      <w:sz w:val="24"/>
      <w:lang w:val="en-US" w:eastAsia="zh-CN" w:bidi="ar-SA"/>
    </w:rPr>
  </w:style>
  <w:style w:type="paragraph" w:styleId="14">
    <w:name w:val="heading 1"/>
    <w:basedOn w:val="1"/>
    <w:next w:val="1"/>
    <w:link w:val="47"/>
    <w:qFormat/>
    <w:uiPriority w:val="0"/>
    <w:pPr>
      <w:keepNext/>
      <w:keepLines/>
      <w:numPr>
        <w:ilvl w:val="0"/>
        <w:numId w:val="1"/>
      </w:numPr>
      <w:jc w:val="left"/>
      <w:outlineLvl w:val="0"/>
    </w:pPr>
    <w:rPr>
      <w:b/>
      <w:bCs/>
      <w:kern w:val="44"/>
      <w:sz w:val="28"/>
      <w:szCs w:val="44"/>
    </w:rPr>
  </w:style>
  <w:style w:type="paragraph" w:styleId="15">
    <w:name w:val="heading 2"/>
    <w:basedOn w:val="1"/>
    <w:next w:val="1"/>
    <w:link w:val="48"/>
    <w:unhideWhenUsed/>
    <w:qFormat/>
    <w:uiPriority w:val="0"/>
    <w:pPr>
      <w:keepNext/>
      <w:keepLines/>
      <w:numPr>
        <w:ilvl w:val="1"/>
        <w:numId w:val="2"/>
      </w:numPr>
      <w:ind w:firstLine="0" w:firstLineChars="0"/>
      <w:jc w:val="left"/>
      <w:outlineLvl w:val="1"/>
    </w:pPr>
    <w:rPr>
      <w:kern w:val="0"/>
    </w:rPr>
  </w:style>
  <w:style w:type="paragraph" w:styleId="16">
    <w:name w:val="heading 3"/>
    <w:basedOn w:val="1"/>
    <w:next w:val="1"/>
    <w:unhideWhenUsed/>
    <w:qFormat/>
    <w:uiPriority w:val="0"/>
    <w:pPr>
      <w:keepNext/>
      <w:keepLines/>
      <w:numPr>
        <w:ilvl w:val="2"/>
        <w:numId w:val="2"/>
      </w:numPr>
      <w:spacing w:before="260" w:after="260" w:line="413" w:lineRule="auto"/>
      <w:outlineLvl w:val="2"/>
    </w:pPr>
    <w:rPr>
      <w:b/>
      <w:sz w:val="32"/>
    </w:rPr>
  </w:style>
  <w:style w:type="paragraph" w:styleId="17">
    <w:name w:val="heading 4"/>
    <w:basedOn w:val="1"/>
    <w:next w:val="1"/>
    <w:unhideWhenUsed/>
    <w:qFormat/>
    <w:uiPriority w:val="0"/>
    <w:pPr>
      <w:keepNext/>
      <w:keepLines/>
      <w:numPr>
        <w:ilvl w:val="3"/>
        <w:numId w:val="2"/>
      </w:numPr>
      <w:spacing w:before="280" w:after="290" w:line="372" w:lineRule="auto"/>
      <w:outlineLvl w:val="3"/>
    </w:pPr>
    <w:rPr>
      <w:rFonts w:ascii="Arial" w:hAnsi="Arial" w:eastAsia="黑体"/>
      <w:b/>
      <w:sz w:val="28"/>
    </w:rPr>
  </w:style>
  <w:style w:type="paragraph" w:styleId="18">
    <w:name w:val="heading 5"/>
    <w:basedOn w:val="1"/>
    <w:next w:val="1"/>
    <w:semiHidden/>
    <w:unhideWhenUsed/>
    <w:qFormat/>
    <w:uiPriority w:val="0"/>
    <w:pPr>
      <w:keepNext/>
      <w:keepLines/>
      <w:numPr>
        <w:ilvl w:val="4"/>
        <w:numId w:val="2"/>
      </w:numPr>
      <w:spacing w:before="280" w:after="290" w:line="372" w:lineRule="auto"/>
      <w:outlineLvl w:val="4"/>
    </w:pPr>
    <w:rPr>
      <w:b/>
      <w:sz w:val="28"/>
    </w:rPr>
  </w:style>
  <w:style w:type="paragraph" w:styleId="19">
    <w:name w:val="heading 6"/>
    <w:basedOn w:val="1"/>
    <w:next w:val="1"/>
    <w:semiHidden/>
    <w:unhideWhenUsed/>
    <w:qFormat/>
    <w:uiPriority w:val="0"/>
    <w:pPr>
      <w:keepNext/>
      <w:keepLines/>
      <w:numPr>
        <w:ilvl w:val="5"/>
        <w:numId w:val="2"/>
      </w:numPr>
      <w:spacing w:before="240" w:after="64" w:line="317" w:lineRule="auto"/>
      <w:outlineLvl w:val="5"/>
    </w:pPr>
    <w:rPr>
      <w:rFonts w:ascii="Arial" w:hAnsi="Arial" w:eastAsia="黑体"/>
      <w:b/>
    </w:rPr>
  </w:style>
  <w:style w:type="paragraph" w:styleId="20">
    <w:name w:val="heading 7"/>
    <w:basedOn w:val="1"/>
    <w:next w:val="1"/>
    <w:semiHidden/>
    <w:unhideWhenUsed/>
    <w:qFormat/>
    <w:uiPriority w:val="0"/>
    <w:pPr>
      <w:keepNext/>
      <w:keepLines/>
      <w:numPr>
        <w:ilvl w:val="6"/>
        <w:numId w:val="2"/>
      </w:numPr>
      <w:spacing w:before="240" w:after="64" w:line="317" w:lineRule="auto"/>
      <w:outlineLvl w:val="6"/>
    </w:pPr>
    <w:rPr>
      <w:b/>
    </w:rPr>
  </w:style>
  <w:style w:type="paragraph" w:styleId="21">
    <w:name w:val="heading 8"/>
    <w:basedOn w:val="1"/>
    <w:next w:val="1"/>
    <w:semiHidden/>
    <w:unhideWhenUsed/>
    <w:qFormat/>
    <w:uiPriority w:val="0"/>
    <w:pPr>
      <w:keepNext/>
      <w:keepLines/>
      <w:numPr>
        <w:ilvl w:val="7"/>
        <w:numId w:val="2"/>
      </w:numPr>
      <w:spacing w:before="240" w:after="64" w:line="317" w:lineRule="auto"/>
      <w:outlineLvl w:val="7"/>
    </w:pPr>
    <w:rPr>
      <w:rFonts w:ascii="Arial" w:hAnsi="Arial" w:eastAsia="黑体"/>
    </w:rPr>
  </w:style>
  <w:style w:type="paragraph" w:styleId="22">
    <w:name w:val="heading 9"/>
    <w:basedOn w:val="1"/>
    <w:next w:val="1"/>
    <w:semiHidden/>
    <w:unhideWhenUsed/>
    <w:qFormat/>
    <w:uiPriority w:val="0"/>
    <w:pPr>
      <w:keepNext/>
      <w:keepLines/>
      <w:numPr>
        <w:ilvl w:val="8"/>
        <w:numId w:val="2"/>
      </w:numPr>
      <w:spacing w:before="240" w:after="64" w:line="317" w:lineRule="auto"/>
      <w:outlineLvl w:val="8"/>
    </w:pPr>
    <w:rPr>
      <w:rFonts w:ascii="Arial" w:hAnsi="Arial" w:eastAsia="黑体"/>
      <w:sz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
    <w:name w:val="纯文本1"/>
    <w:basedOn w:val="1"/>
    <w:qFormat/>
    <w:uiPriority w:val="0"/>
    <w:pPr>
      <w:spacing w:line="240" w:lineRule="auto"/>
      <w:ind w:firstLine="0" w:firstLineChars="0"/>
      <w:jc w:val="left"/>
    </w:pPr>
    <w:rPr>
      <w:rFonts w:ascii="宋体" w:hAnsi="Courier New" w:cs="Times New Roman"/>
      <w:kern w:val="0"/>
      <w:sz w:val="21"/>
      <w:lang w:val="zh-TW"/>
    </w:rPr>
  </w:style>
  <w:style w:type="paragraph" w:customStyle="1" w:styleId="4">
    <w:name w:val="样式35"/>
    <w:basedOn w:val="1"/>
    <w:next w:val="5"/>
    <w:qFormat/>
    <w:uiPriority w:val="0"/>
    <w:pPr>
      <w:spacing w:line="312" w:lineRule="auto"/>
      <w:ind w:firstLine="567"/>
    </w:pPr>
    <w:rPr>
      <w:rFonts w:ascii="宋体"/>
      <w:sz w:val="28"/>
    </w:rPr>
  </w:style>
  <w:style w:type="paragraph" w:customStyle="1" w:styleId="5">
    <w:name w:val="font6"/>
    <w:basedOn w:val="1"/>
    <w:next w:val="6"/>
    <w:qFormat/>
    <w:uiPriority w:val="0"/>
    <w:pPr>
      <w:widowControl/>
      <w:spacing w:before="280" w:after="280"/>
    </w:pPr>
  </w:style>
  <w:style w:type="paragraph" w:styleId="6">
    <w:name w:val="toc 2"/>
    <w:basedOn w:val="1"/>
    <w:next w:val="7"/>
    <w:qFormat/>
    <w:uiPriority w:val="0"/>
    <w:pPr>
      <w:ind w:firstLine="0" w:firstLineChars="0"/>
      <w:jc w:val="left"/>
    </w:pPr>
    <w:rPr>
      <w:rFonts w:cs="Times New Roman"/>
      <w:kern w:val="0"/>
      <w:szCs w:val="21"/>
      <w:lang w:val="zh-TW"/>
    </w:rPr>
  </w:style>
  <w:style w:type="paragraph" w:styleId="7">
    <w:name w:val="E-mail Signature"/>
    <w:basedOn w:val="1"/>
    <w:next w:val="8"/>
    <w:qFormat/>
    <w:uiPriority w:val="0"/>
    <w:pPr>
      <w:spacing w:line="460" w:lineRule="exact"/>
      <w:ind w:firstLine="200"/>
    </w:pPr>
  </w:style>
  <w:style w:type="paragraph" w:customStyle="1" w:styleId="8">
    <w:name w:val="文章"/>
    <w:basedOn w:val="1"/>
    <w:next w:val="9"/>
    <w:qFormat/>
    <w:uiPriority w:val="0"/>
    <w:pPr>
      <w:widowControl/>
      <w:ind w:firstLine="480"/>
      <w:jc w:val="center"/>
    </w:pPr>
    <w:rPr>
      <w:sz w:val="26"/>
    </w:rPr>
  </w:style>
  <w:style w:type="paragraph" w:styleId="9">
    <w:name w:val="List"/>
    <w:basedOn w:val="1"/>
    <w:next w:val="10"/>
    <w:qFormat/>
    <w:uiPriority w:val="0"/>
    <w:pPr>
      <w:snapToGrid w:val="0"/>
    </w:pPr>
    <w:rPr>
      <w:sz w:val="18"/>
    </w:rPr>
  </w:style>
  <w:style w:type="paragraph" w:styleId="10">
    <w:name w:val="List Bullet 2"/>
    <w:basedOn w:val="1"/>
    <w:next w:val="11"/>
    <w:semiHidden/>
    <w:unhideWhenUsed/>
    <w:qFormat/>
    <w:uiPriority w:val="0"/>
    <w:pPr>
      <w:numPr>
        <w:ilvl w:val="0"/>
        <w:numId w:val="3"/>
      </w:numPr>
    </w:pPr>
  </w:style>
  <w:style w:type="paragraph" w:customStyle="1" w:styleId="11">
    <w:name w:val="xl70"/>
    <w:basedOn w:val="1"/>
    <w:next w:val="12"/>
    <w:qFormat/>
    <w:uiPriority w:val="0"/>
    <w:pPr>
      <w:widowControl/>
      <w:spacing w:before="280" w:after="280"/>
    </w:pPr>
    <w:rPr>
      <w:rFonts w:ascii="宋体"/>
    </w:rPr>
  </w:style>
  <w:style w:type="paragraph" w:customStyle="1" w:styleId="12">
    <w:name w:val="正文缩进1"/>
    <w:basedOn w:val="1"/>
    <w:next w:val="13"/>
    <w:qFormat/>
    <w:uiPriority w:val="0"/>
    <w:pPr>
      <w:spacing w:line="240" w:lineRule="auto"/>
      <w:jc w:val="left"/>
    </w:pPr>
    <w:rPr>
      <w:rFonts w:cs="Times New Roman"/>
      <w:kern w:val="0"/>
      <w:szCs w:val="21"/>
      <w:lang w:val="zh-TW"/>
    </w:rPr>
  </w:style>
  <w:style w:type="paragraph" w:customStyle="1" w:styleId="13">
    <w:name w:val="td1"/>
    <w:basedOn w:val="1"/>
    <w:next w:val="1"/>
    <w:qFormat/>
    <w:uiPriority w:val="0"/>
    <w:pPr>
      <w:widowControl/>
      <w:spacing w:before="280" w:after="280" w:line="300" w:lineRule="atLeast"/>
      <w:ind w:firstLine="200"/>
    </w:pPr>
    <w:rPr>
      <w:color w:val="000000"/>
      <w:sz w:val="18"/>
    </w:rPr>
  </w:style>
  <w:style w:type="paragraph" w:styleId="23">
    <w:name w:val="Normal Indent"/>
    <w:basedOn w:val="1"/>
    <w:qFormat/>
    <w:uiPriority w:val="0"/>
  </w:style>
  <w:style w:type="paragraph" w:styleId="24">
    <w:name w:val="Document Map"/>
    <w:basedOn w:val="1"/>
    <w:link w:val="77"/>
    <w:qFormat/>
    <w:uiPriority w:val="0"/>
    <w:pPr>
      <w:shd w:val="clear" w:color="auto" w:fill="000080"/>
      <w:spacing w:line="240" w:lineRule="auto"/>
      <w:ind w:firstLine="0" w:firstLineChars="0"/>
      <w:jc w:val="left"/>
    </w:pPr>
    <w:rPr>
      <w:rFonts w:cs="Times New Roman"/>
      <w:kern w:val="0"/>
      <w:szCs w:val="21"/>
      <w:lang w:val="zh-TW"/>
    </w:rPr>
  </w:style>
  <w:style w:type="paragraph" w:styleId="25">
    <w:name w:val="annotation text"/>
    <w:basedOn w:val="1"/>
    <w:link w:val="49"/>
    <w:qFormat/>
    <w:uiPriority w:val="0"/>
    <w:pPr>
      <w:jc w:val="left"/>
    </w:pPr>
  </w:style>
  <w:style w:type="paragraph" w:styleId="26">
    <w:name w:val="Body Text"/>
    <w:basedOn w:val="1"/>
    <w:link w:val="78"/>
    <w:qFormat/>
    <w:uiPriority w:val="0"/>
    <w:pPr>
      <w:adjustRightInd w:val="0"/>
      <w:snapToGrid w:val="0"/>
      <w:spacing w:line="480" w:lineRule="atLeast"/>
      <w:ind w:firstLine="0" w:firstLineChars="0"/>
      <w:jc w:val="left"/>
    </w:pPr>
    <w:rPr>
      <w:rFonts w:cs="Times New Roman"/>
      <w:kern w:val="0"/>
      <w:sz w:val="28"/>
      <w:szCs w:val="21"/>
      <w:lang w:val="zh-TW"/>
    </w:rPr>
  </w:style>
  <w:style w:type="paragraph" w:styleId="27">
    <w:name w:val="Body Text Indent"/>
    <w:basedOn w:val="1"/>
    <w:link w:val="45"/>
    <w:qFormat/>
    <w:uiPriority w:val="99"/>
    <w:pPr>
      <w:spacing w:after="120"/>
      <w:ind w:left="420" w:leftChars="200"/>
    </w:pPr>
  </w:style>
  <w:style w:type="paragraph" w:styleId="28">
    <w:name w:val="toc 3"/>
    <w:basedOn w:val="1"/>
    <w:next w:val="1"/>
    <w:qFormat/>
    <w:uiPriority w:val="0"/>
    <w:pPr>
      <w:spacing w:line="240" w:lineRule="auto"/>
      <w:ind w:left="840" w:leftChars="400" w:firstLine="0" w:firstLineChars="0"/>
      <w:jc w:val="left"/>
    </w:pPr>
    <w:rPr>
      <w:rFonts w:cs="Times New Roman"/>
      <w:kern w:val="0"/>
      <w:szCs w:val="21"/>
      <w:lang w:val="zh-TW"/>
    </w:rPr>
  </w:style>
  <w:style w:type="paragraph" w:styleId="29">
    <w:name w:val="Plain Text"/>
    <w:basedOn w:val="1"/>
    <w:link w:val="79"/>
    <w:qFormat/>
    <w:uiPriority w:val="0"/>
    <w:pPr>
      <w:spacing w:line="240" w:lineRule="auto"/>
      <w:ind w:firstLine="0" w:firstLineChars="0"/>
      <w:jc w:val="left"/>
    </w:pPr>
    <w:rPr>
      <w:rFonts w:ascii="宋体" w:hAnsi="Courier New" w:cs="Times New Roman"/>
      <w:kern w:val="0"/>
      <w:sz w:val="21"/>
      <w:lang w:val="zh-TW"/>
    </w:rPr>
  </w:style>
  <w:style w:type="paragraph" w:styleId="30">
    <w:name w:val="Balloon Text"/>
    <w:basedOn w:val="1"/>
    <w:link w:val="50"/>
    <w:qFormat/>
    <w:uiPriority w:val="0"/>
    <w:pPr>
      <w:spacing w:line="240" w:lineRule="auto"/>
    </w:pPr>
    <w:rPr>
      <w:sz w:val="18"/>
      <w:szCs w:val="18"/>
    </w:rPr>
  </w:style>
  <w:style w:type="paragraph" w:styleId="31">
    <w:name w:val="footer"/>
    <w:basedOn w:val="1"/>
    <w:link w:val="51"/>
    <w:qFormat/>
    <w:uiPriority w:val="99"/>
    <w:pPr>
      <w:tabs>
        <w:tab w:val="center" w:pos="4153"/>
        <w:tab w:val="right" w:pos="8306"/>
      </w:tabs>
      <w:snapToGrid w:val="0"/>
      <w:spacing w:line="240" w:lineRule="auto"/>
      <w:jc w:val="left"/>
    </w:pPr>
    <w:rPr>
      <w:sz w:val="18"/>
      <w:szCs w:val="18"/>
    </w:rPr>
  </w:style>
  <w:style w:type="paragraph" w:styleId="32">
    <w:name w:val="header"/>
    <w:basedOn w:val="1"/>
    <w:link w:val="52"/>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33">
    <w:name w:val="toc 1"/>
    <w:basedOn w:val="1"/>
    <w:next w:val="1"/>
    <w:qFormat/>
    <w:uiPriority w:val="0"/>
    <w:pPr>
      <w:ind w:firstLine="0" w:firstLineChars="0"/>
      <w:jc w:val="left"/>
    </w:pPr>
    <w:rPr>
      <w:rFonts w:cs="Times New Roman"/>
      <w:b/>
      <w:kern w:val="0"/>
      <w:szCs w:val="24"/>
      <w:lang w:val="zh-TW"/>
    </w:rPr>
  </w:style>
  <w:style w:type="paragraph" w:styleId="34">
    <w:name w:val="Body Text Indent 3"/>
    <w:basedOn w:val="1"/>
    <w:link w:val="80"/>
    <w:qFormat/>
    <w:uiPriority w:val="0"/>
    <w:pPr>
      <w:spacing w:line="240" w:lineRule="auto"/>
      <w:ind w:firstLine="733" w:firstLineChars="229"/>
      <w:jc w:val="left"/>
    </w:pPr>
    <w:rPr>
      <w:rFonts w:ascii="华文仿宋" w:hAnsi="华文仿宋" w:eastAsia="华文仿宋" w:cs="Times New Roman"/>
      <w:kern w:val="0"/>
      <w:sz w:val="32"/>
      <w:szCs w:val="21"/>
      <w:lang w:val="zh-TW"/>
    </w:rPr>
  </w:style>
  <w:style w:type="paragraph" w:styleId="35">
    <w:name w:val="Normal (Web)"/>
    <w:basedOn w:val="1"/>
    <w:qFormat/>
    <w:uiPriority w:val="0"/>
    <w:pPr>
      <w:spacing w:line="240" w:lineRule="auto"/>
      <w:ind w:firstLine="0" w:firstLineChars="0"/>
      <w:jc w:val="left"/>
    </w:pPr>
    <w:rPr>
      <w:rFonts w:cs="Times New Roman"/>
      <w:color w:val="3D3D3D"/>
      <w:kern w:val="0"/>
      <w:szCs w:val="21"/>
    </w:rPr>
  </w:style>
  <w:style w:type="paragraph" w:styleId="36">
    <w:name w:val="Title"/>
    <w:basedOn w:val="1"/>
    <w:qFormat/>
    <w:uiPriority w:val="0"/>
    <w:pPr>
      <w:ind w:firstLine="0" w:firstLineChars="0"/>
      <w:jc w:val="left"/>
      <w:outlineLvl w:val="0"/>
    </w:pPr>
    <w:rPr>
      <w:b/>
      <w:bCs/>
      <w:sz w:val="28"/>
      <w:szCs w:val="32"/>
    </w:rPr>
  </w:style>
  <w:style w:type="paragraph" w:styleId="37">
    <w:name w:val="annotation subject"/>
    <w:basedOn w:val="25"/>
    <w:next w:val="25"/>
    <w:link w:val="53"/>
    <w:qFormat/>
    <w:uiPriority w:val="0"/>
    <w:rPr>
      <w:b/>
      <w:bCs/>
    </w:rPr>
  </w:style>
  <w:style w:type="paragraph" w:styleId="38">
    <w:name w:val="Body Text First Indent 2"/>
    <w:basedOn w:val="27"/>
    <w:link w:val="46"/>
    <w:qFormat/>
    <w:uiPriority w:val="99"/>
  </w:style>
  <w:style w:type="table" w:styleId="40">
    <w:name w:val="Table Grid"/>
    <w:basedOn w:val="3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42">
    <w:name w:val="page number"/>
    <w:basedOn w:val="41"/>
    <w:qFormat/>
    <w:uiPriority w:val="0"/>
  </w:style>
  <w:style w:type="character" w:styleId="43">
    <w:name w:val="Hyperlink"/>
    <w:basedOn w:val="41"/>
    <w:qFormat/>
    <w:uiPriority w:val="99"/>
    <w:rPr>
      <w:color w:val="000080"/>
      <w:u w:val="single"/>
    </w:rPr>
  </w:style>
  <w:style w:type="character" w:styleId="44">
    <w:name w:val="annotation reference"/>
    <w:basedOn w:val="41"/>
    <w:qFormat/>
    <w:uiPriority w:val="0"/>
    <w:rPr>
      <w:sz w:val="21"/>
      <w:szCs w:val="21"/>
    </w:rPr>
  </w:style>
  <w:style w:type="character" w:customStyle="1" w:styleId="45">
    <w:name w:val="正文文本缩进 Char"/>
    <w:basedOn w:val="41"/>
    <w:link w:val="27"/>
    <w:qFormat/>
    <w:uiPriority w:val="99"/>
    <w:rPr>
      <w:rFonts w:cstheme="minorBidi"/>
      <w:kern w:val="2"/>
      <w:sz w:val="24"/>
    </w:rPr>
  </w:style>
  <w:style w:type="character" w:customStyle="1" w:styleId="46">
    <w:name w:val="正文首行缩进 2 Char"/>
    <w:basedOn w:val="45"/>
    <w:link w:val="38"/>
    <w:qFormat/>
    <w:uiPriority w:val="99"/>
    <w:rPr>
      <w:rFonts w:cstheme="minorBidi"/>
      <w:kern w:val="2"/>
      <w:sz w:val="24"/>
    </w:rPr>
  </w:style>
  <w:style w:type="character" w:customStyle="1" w:styleId="47">
    <w:name w:val="标题 1 Char"/>
    <w:link w:val="14"/>
    <w:qFormat/>
    <w:uiPriority w:val="99"/>
    <w:rPr>
      <w:rFonts w:ascii="Times New Roman" w:hAnsi="Times New Roman" w:eastAsia="宋体"/>
      <w:b/>
      <w:bCs/>
      <w:kern w:val="44"/>
      <w:sz w:val="28"/>
      <w:szCs w:val="44"/>
    </w:rPr>
  </w:style>
  <w:style w:type="character" w:customStyle="1" w:styleId="48">
    <w:name w:val="标题 2 Char"/>
    <w:link w:val="15"/>
    <w:qFormat/>
    <w:uiPriority w:val="0"/>
    <w:rPr>
      <w:rFonts w:ascii="Times New Roman" w:hAnsi="Times New Roman" w:eastAsia="宋体"/>
      <w:sz w:val="24"/>
    </w:rPr>
  </w:style>
  <w:style w:type="character" w:customStyle="1" w:styleId="49">
    <w:name w:val="批注文字 Char"/>
    <w:basedOn w:val="41"/>
    <w:link w:val="25"/>
    <w:qFormat/>
    <w:uiPriority w:val="0"/>
    <w:rPr>
      <w:rFonts w:cstheme="minorBidi"/>
      <w:kern w:val="2"/>
      <w:sz w:val="24"/>
    </w:rPr>
  </w:style>
  <w:style w:type="character" w:customStyle="1" w:styleId="50">
    <w:name w:val="批注框文本 Char"/>
    <w:basedOn w:val="41"/>
    <w:link w:val="30"/>
    <w:qFormat/>
    <w:uiPriority w:val="0"/>
    <w:rPr>
      <w:rFonts w:cstheme="minorBidi"/>
      <w:kern w:val="2"/>
      <w:sz w:val="18"/>
      <w:szCs w:val="18"/>
    </w:rPr>
  </w:style>
  <w:style w:type="character" w:customStyle="1" w:styleId="51">
    <w:name w:val="页脚 Char"/>
    <w:basedOn w:val="41"/>
    <w:link w:val="31"/>
    <w:qFormat/>
    <w:uiPriority w:val="99"/>
    <w:rPr>
      <w:rFonts w:cstheme="minorBidi"/>
      <w:kern w:val="2"/>
      <w:sz w:val="18"/>
      <w:szCs w:val="18"/>
    </w:rPr>
  </w:style>
  <w:style w:type="character" w:customStyle="1" w:styleId="52">
    <w:name w:val="页眉 Char"/>
    <w:basedOn w:val="41"/>
    <w:link w:val="32"/>
    <w:qFormat/>
    <w:uiPriority w:val="0"/>
    <w:rPr>
      <w:rFonts w:cstheme="minorBidi"/>
      <w:kern w:val="2"/>
      <w:sz w:val="18"/>
      <w:szCs w:val="18"/>
    </w:rPr>
  </w:style>
  <w:style w:type="character" w:customStyle="1" w:styleId="53">
    <w:name w:val="批注主题 Char"/>
    <w:basedOn w:val="49"/>
    <w:link w:val="37"/>
    <w:qFormat/>
    <w:uiPriority w:val="0"/>
    <w:rPr>
      <w:rFonts w:cstheme="minorBidi"/>
      <w:b/>
      <w:bCs/>
      <w:kern w:val="2"/>
      <w:sz w:val="24"/>
    </w:rPr>
  </w:style>
  <w:style w:type="paragraph" w:customStyle="1" w:styleId="54">
    <w:name w:val="一级标"/>
    <w:basedOn w:val="1"/>
    <w:qFormat/>
    <w:uiPriority w:val="0"/>
    <w:pPr>
      <w:ind w:firstLine="0" w:firstLineChars="0"/>
      <w:jc w:val="left"/>
    </w:pPr>
    <w:rPr>
      <w:b/>
      <w:sz w:val="28"/>
    </w:rPr>
  </w:style>
  <w:style w:type="paragraph" w:customStyle="1" w:styleId="55">
    <w:name w:val="二级标"/>
    <w:basedOn w:val="54"/>
    <w:qFormat/>
    <w:uiPriority w:val="0"/>
    <w:pPr>
      <w:ind w:firstLine="562" w:firstLineChars="200"/>
    </w:pPr>
    <w:rPr>
      <w:sz w:val="24"/>
    </w:rPr>
  </w:style>
  <w:style w:type="paragraph" w:customStyle="1" w:styleId="56">
    <w:name w:val="表图标题"/>
    <w:basedOn w:val="55"/>
    <w:next w:val="1"/>
    <w:qFormat/>
    <w:uiPriority w:val="0"/>
    <w:pPr>
      <w:ind w:firstLine="0" w:firstLineChars="0"/>
      <w:jc w:val="center"/>
    </w:pPr>
  </w:style>
  <w:style w:type="paragraph" w:customStyle="1" w:styleId="57">
    <w:name w:val="表格格式"/>
    <w:basedOn w:val="56"/>
    <w:next w:val="1"/>
    <w:qFormat/>
    <w:uiPriority w:val="0"/>
    <w:pPr>
      <w:spacing w:line="240" w:lineRule="auto"/>
    </w:pPr>
    <w:rPr>
      <w:b w:val="0"/>
      <w:sz w:val="21"/>
    </w:rPr>
  </w:style>
  <w:style w:type="paragraph" w:styleId="58">
    <w:name w:val="List Paragraph"/>
    <w:basedOn w:val="1"/>
    <w:qFormat/>
    <w:uiPriority w:val="99"/>
  </w:style>
  <w:style w:type="character" w:customStyle="1" w:styleId="59">
    <w:name w:val="表格 Char"/>
    <w:link w:val="60"/>
    <w:qFormat/>
    <w:uiPriority w:val="0"/>
    <w:rPr>
      <w:kern w:val="2"/>
      <w:sz w:val="21"/>
      <w:szCs w:val="21"/>
    </w:rPr>
  </w:style>
  <w:style w:type="paragraph" w:customStyle="1" w:styleId="60">
    <w:name w:val="表格"/>
    <w:basedOn w:val="23"/>
    <w:next w:val="1"/>
    <w:link w:val="59"/>
    <w:qFormat/>
    <w:uiPriority w:val="0"/>
    <w:pPr>
      <w:widowControl/>
      <w:spacing w:line="240" w:lineRule="auto"/>
      <w:ind w:firstLine="0" w:firstLineChars="0"/>
      <w:jc w:val="center"/>
    </w:pPr>
    <w:rPr>
      <w:rFonts w:cs="Times New Roman"/>
      <w:sz w:val="21"/>
      <w:szCs w:val="21"/>
    </w:rPr>
  </w:style>
  <w:style w:type="paragraph" w:customStyle="1" w:styleId="61">
    <w:name w:val="AA表格内容"/>
    <w:basedOn w:val="1"/>
    <w:qFormat/>
    <w:uiPriority w:val="0"/>
    <w:pPr>
      <w:autoSpaceDE w:val="0"/>
      <w:autoSpaceDN w:val="0"/>
      <w:spacing w:line="240" w:lineRule="auto"/>
      <w:ind w:firstLine="0" w:firstLineChars="0"/>
      <w:jc w:val="center"/>
    </w:pPr>
    <w:rPr>
      <w:rFonts w:cs="Times New Roman"/>
      <w:sz w:val="21"/>
      <w:szCs w:val="24"/>
    </w:rPr>
  </w:style>
  <w:style w:type="paragraph" w:customStyle="1" w:styleId="62">
    <w:name w:val="A正文"/>
    <w:basedOn w:val="1"/>
    <w:qFormat/>
    <w:uiPriority w:val="0"/>
    <w:pPr>
      <w:widowControl/>
      <w:tabs>
        <w:tab w:val="left" w:pos="1980"/>
        <w:tab w:val="left" w:pos="3825"/>
        <w:tab w:val="left" w:pos="4680"/>
      </w:tabs>
      <w:adjustRightInd w:val="0"/>
      <w:snapToGrid w:val="0"/>
      <w:ind w:firstLine="200"/>
    </w:pPr>
    <w:rPr>
      <w:rFonts w:hAnsi="宋体" w:cs="Times New Roman"/>
      <w:kern w:val="0"/>
      <w:szCs w:val="21"/>
      <w:lang w:eastAsia="en-US" w:bidi="en-US"/>
    </w:rPr>
  </w:style>
  <w:style w:type="paragraph" w:customStyle="1" w:styleId="63">
    <w:name w:val="liang正文"/>
    <w:basedOn w:val="1"/>
    <w:qFormat/>
    <w:uiPriority w:val="0"/>
    <w:pPr>
      <w:adjustRightInd w:val="0"/>
      <w:snapToGrid w:val="0"/>
      <w:ind w:firstLine="480"/>
    </w:pPr>
    <w:rPr>
      <w:rFonts w:ascii="宋体" w:hAnsi="宋体" w:cs="Times New Roman"/>
      <w:szCs w:val="24"/>
    </w:rPr>
  </w:style>
  <w:style w:type="paragraph" w:customStyle="1" w:styleId="64">
    <w:name w:val="5 正文航宇"/>
    <w:basedOn w:val="1"/>
    <w:qFormat/>
    <w:uiPriority w:val="0"/>
    <w:pPr>
      <w:widowControl/>
      <w:tabs>
        <w:tab w:val="left" w:pos="1980"/>
        <w:tab w:val="left" w:pos="3825"/>
        <w:tab w:val="left" w:pos="4680"/>
      </w:tabs>
      <w:adjustRightInd w:val="0"/>
      <w:snapToGrid w:val="0"/>
      <w:ind w:firstLine="200"/>
    </w:pPr>
    <w:rPr>
      <w:rFonts w:hAnsi="宋体" w:cs="Times New Roman"/>
      <w:kern w:val="0"/>
      <w:szCs w:val="21"/>
      <w:lang w:eastAsia="en-US" w:bidi="en-US"/>
    </w:rPr>
  </w:style>
  <w:style w:type="paragraph" w:customStyle="1" w:styleId="65">
    <w:name w:val="1 Char Char Char Char Char Char Char"/>
    <w:basedOn w:val="1"/>
    <w:semiHidden/>
    <w:qFormat/>
    <w:uiPriority w:val="0"/>
    <w:pPr>
      <w:spacing w:line="240" w:lineRule="auto"/>
      <w:ind w:firstLine="0" w:firstLineChars="0"/>
      <w:jc w:val="left"/>
    </w:pPr>
    <w:rPr>
      <w:rFonts w:cs="Times New Roman"/>
      <w:kern w:val="0"/>
      <w:szCs w:val="21"/>
      <w:lang w:val="zh-TW"/>
    </w:rPr>
  </w:style>
  <w:style w:type="character" w:customStyle="1" w:styleId="66">
    <w:name w:val="font01"/>
    <w:basedOn w:val="41"/>
    <w:qFormat/>
    <w:uiPriority w:val="0"/>
    <w:rPr>
      <w:rFonts w:hint="eastAsia" w:ascii="宋体" w:hAnsi="宋体" w:eastAsia="宋体" w:cs="宋体"/>
      <w:color w:val="000000"/>
      <w:sz w:val="24"/>
      <w:szCs w:val="24"/>
      <w:u w:val="none"/>
    </w:rPr>
  </w:style>
  <w:style w:type="character" w:customStyle="1" w:styleId="67">
    <w:name w:val="font31"/>
    <w:basedOn w:val="41"/>
    <w:qFormat/>
    <w:uiPriority w:val="0"/>
    <w:rPr>
      <w:rFonts w:hint="eastAsia" w:ascii="宋体" w:hAnsi="宋体" w:eastAsia="宋体" w:cs="宋体"/>
      <w:color w:val="000000"/>
      <w:sz w:val="24"/>
      <w:szCs w:val="24"/>
      <w:u w:val="none"/>
    </w:rPr>
  </w:style>
  <w:style w:type="character" w:customStyle="1" w:styleId="68">
    <w:name w:val="font121"/>
    <w:basedOn w:val="41"/>
    <w:qFormat/>
    <w:uiPriority w:val="0"/>
    <w:rPr>
      <w:rFonts w:hint="default" w:ascii="Times New Roman" w:hAnsi="Times New Roman" w:cs="Times New Roman"/>
      <w:color w:val="000000"/>
      <w:sz w:val="24"/>
      <w:szCs w:val="24"/>
      <w:u w:val="none"/>
    </w:rPr>
  </w:style>
  <w:style w:type="character" w:customStyle="1" w:styleId="69">
    <w:name w:val="font91"/>
    <w:basedOn w:val="41"/>
    <w:qFormat/>
    <w:uiPriority w:val="0"/>
    <w:rPr>
      <w:rFonts w:hint="eastAsia" w:ascii="宋体" w:hAnsi="宋体" w:eastAsia="宋体" w:cs="宋体"/>
      <w:color w:val="000000"/>
      <w:sz w:val="24"/>
      <w:szCs w:val="24"/>
      <w:u w:val="none"/>
    </w:rPr>
  </w:style>
  <w:style w:type="character" w:customStyle="1" w:styleId="70">
    <w:name w:val="font11"/>
    <w:basedOn w:val="41"/>
    <w:qFormat/>
    <w:uiPriority w:val="0"/>
    <w:rPr>
      <w:rFonts w:hint="eastAsia" w:ascii="宋体" w:hAnsi="宋体" w:eastAsia="宋体" w:cs="宋体"/>
      <w:color w:val="000000"/>
      <w:sz w:val="24"/>
      <w:szCs w:val="24"/>
      <w:u w:val="none"/>
      <w:vertAlign w:val="superscript"/>
    </w:rPr>
  </w:style>
  <w:style w:type="character" w:customStyle="1" w:styleId="71">
    <w:name w:val="font71"/>
    <w:basedOn w:val="41"/>
    <w:qFormat/>
    <w:uiPriority w:val="0"/>
    <w:rPr>
      <w:rFonts w:hint="eastAsia" w:ascii="宋体" w:hAnsi="宋体" w:eastAsia="宋体" w:cs="宋体"/>
      <w:color w:val="000000"/>
      <w:sz w:val="24"/>
      <w:szCs w:val="24"/>
      <w:u w:val="none"/>
    </w:rPr>
  </w:style>
  <w:style w:type="character" w:customStyle="1" w:styleId="72">
    <w:name w:val="font61"/>
    <w:basedOn w:val="41"/>
    <w:qFormat/>
    <w:uiPriority w:val="0"/>
    <w:rPr>
      <w:rFonts w:hint="eastAsia" w:ascii="宋体" w:hAnsi="宋体" w:eastAsia="宋体" w:cs="宋体"/>
      <w:color w:val="000000"/>
      <w:sz w:val="24"/>
      <w:szCs w:val="24"/>
      <w:u w:val="none"/>
    </w:rPr>
  </w:style>
  <w:style w:type="character" w:customStyle="1" w:styleId="73">
    <w:name w:val="font41"/>
    <w:basedOn w:val="41"/>
    <w:qFormat/>
    <w:uiPriority w:val="0"/>
    <w:rPr>
      <w:rFonts w:hint="default" w:ascii="Times New Roman" w:hAnsi="Times New Roman" w:cs="Times New Roman"/>
      <w:color w:val="000000"/>
      <w:sz w:val="24"/>
      <w:szCs w:val="24"/>
      <w:u w:val="none"/>
    </w:rPr>
  </w:style>
  <w:style w:type="character" w:customStyle="1" w:styleId="74">
    <w:name w:val="font51"/>
    <w:basedOn w:val="41"/>
    <w:qFormat/>
    <w:uiPriority w:val="0"/>
    <w:rPr>
      <w:rFonts w:hint="default" w:ascii="Times New Roman" w:hAnsi="Times New Roman" w:cs="Times New Roman"/>
      <w:color w:val="000000"/>
      <w:sz w:val="24"/>
      <w:szCs w:val="24"/>
      <w:u w:val="none"/>
      <w:vertAlign w:val="superscript"/>
    </w:rPr>
  </w:style>
  <w:style w:type="character" w:customStyle="1" w:styleId="75">
    <w:name w:val="font81"/>
    <w:basedOn w:val="41"/>
    <w:qFormat/>
    <w:uiPriority w:val="0"/>
    <w:rPr>
      <w:rFonts w:hint="eastAsia" w:ascii="宋体" w:hAnsi="宋体" w:eastAsia="宋体" w:cs="宋体"/>
      <w:color w:val="000000"/>
      <w:sz w:val="24"/>
      <w:szCs w:val="24"/>
      <w:u w:val="none"/>
    </w:rPr>
  </w:style>
  <w:style w:type="character" w:customStyle="1" w:styleId="76">
    <w:name w:val="font21"/>
    <w:basedOn w:val="41"/>
    <w:qFormat/>
    <w:uiPriority w:val="0"/>
    <w:rPr>
      <w:rFonts w:hint="eastAsia" w:ascii="宋体" w:hAnsi="宋体" w:eastAsia="宋体" w:cs="宋体"/>
      <w:color w:val="000000"/>
      <w:sz w:val="24"/>
      <w:szCs w:val="24"/>
      <w:u w:val="none"/>
    </w:rPr>
  </w:style>
  <w:style w:type="character" w:customStyle="1" w:styleId="77">
    <w:name w:val="文档结构图 Char"/>
    <w:basedOn w:val="41"/>
    <w:link w:val="24"/>
    <w:qFormat/>
    <w:uiPriority w:val="0"/>
    <w:rPr>
      <w:sz w:val="24"/>
      <w:szCs w:val="21"/>
      <w:shd w:val="clear" w:color="auto" w:fill="000080"/>
      <w:lang w:val="zh-TW"/>
    </w:rPr>
  </w:style>
  <w:style w:type="character" w:customStyle="1" w:styleId="78">
    <w:name w:val="正文文本 Char"/>
    <w:basedOn w:val="41"/>
    <w:link w:val="26"/>
    <w:qFormat/>
    <w:uiPriority w:val="0"/>
    <w:rPr>
      <w:sz w:val="28"/>
      <w:szCs w:val="21"/>
      <w:lang w:val="zh-TW"/>
    </w:rPr>
  </w:style>
  <w:style w:type="character" w:customStyle="1" w:styleId="79">
    <w:name w:val="纯文本 Char"/>
    <w:basedOn w:val="41"/>
    <w:link w:val="29"/>
    <w:qFormat/>
    <w:uiPriority w:val="0"/>
    <w:rPr>
      <w:rFonts w:ascii="宋体" w:hAnsi="Courier New"/>
      <w:sz w:val="21"/>
      <w:lang w:val="zh-TW"/>
    </w:rPr>
  </w:style>
  <w:style w:type="character" w:customStyle="1" w:styleId="80">
    <w:name w:val="正文文本缩进 3 Char"/>
    <w:basedOn w:val="41"/>
    <w:link w:val="34"/>
    <w:qFormat/>
    <w:uiPriority w:val="0"/>
    <w:rPr>
      <w:rFonts w:ascii="华文仿宋" w:hAnsi="华文仿宋" w:eastAsia="华文仿宋"/>
      <w:sz w:val="32"/>
      <w:szCs w:val="21"/>
      <w:lang w:val="zh-TW"/>
    </w:rPr>
  </w:style>
  <w:style w:type="paragraph" w:customStyle="1" w:styleId="81">
    <w:name w:val="p0"/>
    <w:basedOn w:val="1"/>
    <w:qFormat/>
    <w:uiPriority w:val="0"/>
    <w:pPr>
      <w:widowControl/>
      <w:spacing w:line="240" w:lineRule="auto"/>
      <w:ind w:firstLine="0" w:firstLineChars="0"/>
    </w:pPr>
    <w:rPr>
      <w:rFonts w:cs="Times New Roman"/>
      <w:kern w:val="0"/>
      <w:sz w:val="21"/>
      <w:szCs w:val="21"/>
    </w:rPr>
  </w:style>
  <w:style w:type="paragraph" w:customStyle="1" w:styleId="82">
    <w:name w:val="王正慧－正文"/>
    <w:basedOn w:val="23"/>
    <w:link w:val="93"/>
    <w:qFormat/>
    <w:uiPriority w:val="0"/>
    <w:pPr>
      <w:ind w:firstLine="200"/>
      <w:jc w:val="left"/>
    </w:pPr>
    <w:rPr>
      <w:rFonts w:ascii="宋体" w:hAnsi="宋体" w:cs="Times New Roman"/>
      <w:kern w:val="0"/>
      <w:szCs w:val="28"/>
      <w:lang w:val="zh-TW"/>
    </w:rPr>
  </w:style>
  <w:style w:type="paragraph" w:customStyle="1" w:styleId="83">
    <w:name w:val="正文文本 (35)"/>
    <w:basedOn w:val="1"/>
    <w:qFormat/>
    <w:uiPriority w:val="99"/>
    <w:pPr>
      <w:shd w:val="clear" w:color="auto" w:fill="FFFFFF"/>
      <w:spacing w:after="480" w:line="240" w:lineRule="atLeast"/>
      <w:ind w:firstLine="0" w:firstLineChars="0"/>
      <w:jc w:val="center"/>
    </w:pPr>
    <w:rPr>
      <w:rFonts w:ascii="MingLiU" w:hAnsi="MingLiU" w:eastAsia="MingLiU" w:cs="MingLiU"/>
      <w:spacing w:val="-50"/>
      <w:kern w:val="0"/>
      <w:sz w:val="35"/>
      <w:szCs w:val="35"/>
      <w:lang w:val="zh-TW"/>
    </w:rPr>
  </w:style>
  <w:style w:type="paragraph" w:customStyle="1" w:styleId="84">
    <w:name w:val="样式1"/>
    <w:basedOn w:val="83"/>
    <w:qFormat/>
    <w:uiPriority w:val="0"/>
    <w:pPr>
      <w:shd w:val="clear" w:color="auto" w:fill="auto"/>
      <w:spacing w:after="0" w:line="360" w:lineRule="auto"/>
      <w:ind w:firstLine="200" w:firstLineChars="200"/>
      <w:jc w:val="left"/>
    </w:pPr>
    <w:rPr>
      <w:rFonts w:ascii="Times New Roman" w:hAnsi="Times New Roman" w:eastAsia="宋体"/>
      <w:spacing w:val="0"/>
      <w:sz w:val="24"/>
      <w:szCs w:val="24"/>
    </w:rPr>
  </w:style>
  <w:style w:type="paragraph" w:customStyle="1" w:styleId="85">
    <w:name w:val="样式 样式1 + 首行缩进:  2 字符2"/>
    <w:basedOn w:val="84"/>
    <w:qFormat/>
    <w:uiPriority w:val="0"/>
    <w:pPr>
      <w:ind w:firstLine="480"/>
    </w:pPr>
    <w:rPr>
      <w:rFonts w:cs="宋体"/>
      <w:sz w:val="28"/>
      <w:szCs w:val="28"/>
    </w:rPr>
  </w:style>
  <w:style w:type="paragraph" w:customStyle="1" w:styleId="86">
    <w:name w:val="YB目小四黑三"/>
    <w:qFormat/>
    <w:uiPriority w:val="0"/>
    <w:pPr>
      <w:tabs>
        <w:tab w:val="left" w:pos="360"/>
      </w:tabs>
      <w:adjustRightInd w:val="0"/>
      <w:spacing w:after="50" w:afterLines="50" w:line="520" w:lineRule="exact"/>
    </w:pPr>
    <w:rPr>
      <w:rFonts w:ascii="Times New Roman" w:hAnsi="Times New Roman" w:eastAsia="黑体" w:cs="Times New Roman"/>
      <w:b/>
      <w:bCs/>
      <w:sz w:val="24"/>
      <w:lang w:val="en-US" w:eastAsia="zh-CN" w:bidi="ar-SA"/>
    </w:rPr>
  </w:style>
  <w:style w:type="paragraph" w:customStyle="1" w:styleId="87">
    <w:name w:val="样式 首行缩进:  2 字符"/>
    <w:basedOn w:val="1"/>
    <w:qFormat/>
    <w:uiPriority w:val="0"/>
    <w:pPr>
      <w:spacing w:line="480" w:lineRule="exact"/>
      <w:ind w:firstLine="200"/>
      <w:jc w:val="left"/>
    </w:pPr>
    <w:rPr>
      <w:rFonts w:cs="宋体"/>
      <w:kern w:val="0"/>
      <w:sz w:val="28"/>
      <w:szCs w:val="28"/>
      <w:lang w:val="zh-TW"/>
    </w:rPr>
  </w:style>
  <w:style w:type="paragraph" w:customStyle="1" w:styleId="88">
    <w:name w:val="正文（用户）"/>
    <w:basedOn w:val="1"/>
    <w:qFormat/>
    <w:uiPriority w:val="0"/>
    <w:pPr>
      <w:spacing w:line="240" w:lineRule="atLeast"/>
      <w:ind w:firstLine="567" w:firstLineChars="0"/>
      <w:jc w:val="left"/>
    </w:pPr>
    <w:rPr>
      <w:rFonts w:cs="Times New Roman"/>
      <w:sz w:val="28"/>
      <w:szCs w:val="21"/>
    </w:rPr>
  </w:style>
  <w:style w:type="paragraph" w:customStyle="1" w:styleId="89">
    <w:name w:val="样式 二号 加粗 居中"/>
    <w:basedOn w:val="1"/>
    <w:qFormat/>
    <w:uiPriority w:val="0"/>
    <w:pPr>
      <w:ind w:firstLine="0" w:firstLineChars="0"/>
      <w:jc w:val="center"/>
    </w:pPr>
    <w:rPr>
      <w:rFonts w:cs="宋体"/>
      <w:b/>
      <w:bCs/>
      <w:kern w:val="0"/>
      <w:sz w:val="44"/>
      <w:lang w:val="zh-TW"/>
    </w:rPr>
  </w:style>
  <w:style w:type="paragraph" w:customStyle="1" w:styleId="90">
    <w:name w:val="Char Char Char Char Char Char Char Char Char Char Char Char Char Char Char Char Char Char Char Char Char Char Char Char Char Char Char Char Char Char Char Char Char Char Char Char Char Char Char Char Char Char Char Char Char Char Char Char1"/>
    <w:basedOn w:val="1"/>
    <w:next w:val="1"/>
    <w:semiHidden/>
    <w:qFormat/>
    <w:uiPriority w:val="0"/>
    <w:pPr>
      <w:pBdr>
        <w:right w:val="single" w:color="auto" w:sz="12" w:space="4"/>
      </w:pBdr>
      <w:ind w:firstLine="200"/>
    </w:pPr>
    <w:rPr>
      <w:rFonts w:ascii="宋体" w:hAnsi="宋体" w:cs="宋体"/>
      <w:szCs w:val="24"/>
    </w:rPr>
  </w:style>
  <w:style w:type="character" w:customStyle="1" w:styleId="91">
    <w:name w:val="新正文 Char"/>
    <w:link w:val="92"/>
    <w:qFormat/>
    <w:uiPriority w:val="0"/>
    <w:rPr>
      <w:snapToGrid w:val="0"/>
      <w:sz w:val="24"/>
      <w:szCs w:val="24"/>
    </w:rPr>
  </w:style>
  <w:style w:type="paragraph" w:customStyle="1" w:styleId="92">
    <w:name w:val="新正文"/>
    <w:basedOn w:val="1"/>
    <w:link w:val="91"/>
    <w:qFormat/>
    <w:uiPriority w:val="0"/>
    <w:pPr>
      <w:tabs>
        <w:tab w:val="left" w:pos="480"/>
        <w:tab w:val="left" w:pos="1875"/>
      </w:tabs>
      <w:adjustRightInd w:val="0"/>
      <w:snapToGrid w:val="0"/>
      <w:spacing w:line="500" w:lineRule="exact"/>
      <w:ind w:firstLine="200"/>
      <w:jc w:val="left"/>
    </w:pPr>
    <w:rPr>
      <w:rFonts w:cs="Times New Roman"/>
      <w:snapToGrid w:val="0"/>
      <w:kern w:val="0"/>
      <w:szCs w:val="24"/>
    </w:rPr>
  </w:style>
  <w:style w:type="character" w:customStyle="1" w:styleId="93">
    <w:name w:val="王正慧－正文 Char2"/>
    <w:link w:val="82"/>
    <w:qFormat/>
    <w:uiPriority w:val="0"/>
    <w:rPr>
      <w:rFonts w:ascii="宋体" w:hAnsi="宋体"/>
      <w:sz w:val="24"/>
      <w:szCs w:val="28"/>
      <w:lang w:val="zh-TW"/>
    </w:rPr>
  </w:style>
  <w:style w:type="character" w:customStyle="1" w:styleId="94">
    <w:name w:val="王正慧-正文 Char1"/>
    <w:link w:val="95"/>
    <w:qFormat/>
    <w:uiPriority w:val="0"/>
    <w:rPr>
      <w:rFonts w:cs="宋体"/>
      <w:kern w:val="2"/>
      <w:sz w:val="24"/>
    </w:rPr>
  </w:style>
  <w:style w:type="paragraph" w:customStyle="1" w:styleId="95">
    <w:name w:val="王正慧-正文"/>
    <w:basedOn w:val="1"/>
    <w:link w:val="94"/>
    <w:semiHidden/>
    <w:qFormat/>
    <w:uiPriority w:val="0"/>
    <w:pPr>
      <w:ind w:firstLine="480"/>
    </w:pPr>
    <w:rPr>
      <w:rFonts w:cs="宋体"/>
    </w:rPr>
  </w:style>
  <w:style w:type="paragraph" w:customStyle="1" w:styleId="96">
    <w:name w:val="Char Char Char Char Char Char Char Char Char Char Char Char Char Char Char Char Char Char Char Char Char Char Char Char Char Char Char Char Char Char Char Char Char Char Char Char Char Char Char Char Char Char Char Char Char Char Char Char11"/>
    <w:basedOn w:val="1"/>
    <w:next w:val="1"/>
    <w:semiHidden/>
    <w:qFormat/>
    <w:uiPriority w:val="0"/>
    <w:pPr>
      <w:pBdr>
        <w:right w:val="single" w:color="auto" w:sz="12" w:space="4"/>
      </w:pBdr>
      <w:ind w:firstLine="200"/>
    </w:pPr>
    <w:rPr>
      <w:rFonts w:ascii="宋体" w:hAnsi="宋体" w:cs="宋体"/>
      <w:szCs w:val="24"/>
    </w:rPr>
  </w:style>
  <w:style w:type="paragraph" w:customStyle="1" w:styleId="97">
    <w:name w:val="Char Char Char Char Char Char Char Char Char Char Char Char Char Char Char Char Char Char Char Char Char Char Char Char Char Char Char Char Char Char Char Char Char Char Char Char Char Char Char Char Char Char Char Char Char Char Char Char12"/>
    <w:basedOn w:val="1"/>
    <w:next w:val="1"/>
    <w:semiHidden/>
    <w:qFormat/>
    <w:uiPriority w:val="0"/>
    <w:pPr>
      <w:pBdr>
        <w:right w:val="single" w:color="auto" w:sz="12" w:space="4"/>
      </w:pBdr>
      <w:ind w:firstLine="200"/>
    </w:pPr>
    <w:rPr>
      <w:rFonts w:ascii="宋体" w:hAnsi="宋体" w:cs="宋体"/>
      <w:szCs w:val="24"/>
    </w:rPr>
  </w:style>
  <w:style w:type="paragraph" w:customStyle="1" w:styleId="98">
    <w:name w:val="Char Char Char Char Char Char Char Char Char Char Char Char Char Char Char Char Char Char Char Char Char Char Char Char Char Char Char Char Char Char Char Char Char Char Char Char Char Char Char Char Char Char Char Char Char Char Char Char13"/>
    <w:basedOn w:val="1"/>
    <w:next w:val="1"/>
    <w:semiHidden/>
    <w:qFormat/>
    <w:uiPriority w:val="0"/>
    <w:pPr>
      <w:pBdr>
        <w:right w:val="single" w:color="auto" w:sz="12" w:space="4"/>
      </w:pBdr>
      <w:ind w:firstLine="200"/>
    </w:pPr>
    <w:rPr>
      <w:rFonts w:ascii="宋体" w:hAnsi="宋体" w:cs="宋体"/>
      <w:szCs w:val="24"/>
    </w:rPr>
  </w:style>
  <w:style w:type="character" w:customStyle="1" w:styleId="99">
    <w:name w:val="蓝森正文 Char"/>
    <w:link w:val="100"/>
    <w:qFormat/>
    <w:uiPriority w:val="0"/>
    <w:rPr>
      <w:sz w:val="24"/>
      <w:szCs w:val="24"/>
    </w:rPr>
  </w:style>
  <w:style w:type="paragraph" w:customStyle="1" w:styleId="100">
    <w:name w:val="蓝森正文"/>
    <w:basedOn w:val="1"/>
    <w:link w:val="99"/>
    <w:qFormat/>
    <w:uiPriority w:val="0"/>
    <w:pPr>
      <w:spacing w:line="520" w:lineRule="exact"/>
      <w:ind w:firstLine="200"/>
    </w:pPr>
    <w:rPr>
      <w:rFonts w:cs="Times New Roman"/>
      <w:kern w:val="0"/>
      <w:szCs w:val="24"/>
    </w:rPr>
  </w:style>
  <w:style w:type="paragraph" w:customStyle="1" w:styleId="101">
    <w:name w:val="正文2"/>
    <w:basedOn w:val="1"/>
    <w:qFormat/>
    <w:uiPriority w:val="0"/>
    <w:pPr>
      <w:spacing w:line="500" w:lineRule="atLeast"/>
      <w:ind w:firstLine="200"/>
    </w:pPr>
    <w:rPr>
      <w:rFonts w:cs="Times New Roman"/>
      <w:szCs w:val="22"/>
    </w:rPr>
  </w:style>
  <w:style w:type="paragraph" w:customStyle="1" w:styleId="102">
    <w:name w:val="正文+小四+设计院"/>
    <w:basedOn w:val="1"/>
    <w:qFormat/>
    <w:uiPriority w:val="0"/>
    <w:pPr>
      <w:spacing w:line="240" w:lineRule="auto"/>
      <w:ind w:firstLine="200"/>
    </w:pPr>
    <w:rPr>
      <w:rFonts w:cs="宋体"/>
      <w:bCs/>
      <w:color w:val="000000"/>
    </w:rPr>
  </w:style>
  <w:style w:type="paragraph" w:customStyle="1" w:styleId="103">
    <w:name w:val="蓝森表格内容"/>
    <w:basedOn w:val="1"/>
    <w:qFormat/>
    <w:uiPriority w:val="0"/>
    <w:pPr>
      <w:spacing w:line="360" w:lineRule="exact"/>
      <w:ind w:firstLine="0" w:firstLineChars="0"/>
      <w:jc w:val="center"/>
    </w:pPr>
    <w:rPr>
      <w:rFonts w:hAnsi="宋体" w:cs="Times New Roman"/>
      <w:szCs w:val="21"/>
    </w:rPr>
  </w:style>
  <w:style w:type="paragraph" w:customStyle="1" w:styleId="104">
    <w:name w:val="蓝森表头"/>
    <w:basedOn w:val="84"/>
    <w:qFormat/>
    <w:uiPriority w:val="0"/>
    <w:pPr>
      <w:wordWrap w:val="0"/>
      <w:snapToGrid w:val="0"/>
      <w:ind w:firstLine="480"/>
      <w:jc w:val="both"/>
    </w:pPr>
    <w:rPr>
      <w:rFonts w:cs="Times New Roman"/>
      <w:kern w:val="2"/>
      <w:lang w:val="en-US"/>
    </w:rPr>
  </w:style>
  <w:style w:type="paragraph" w:customStyle="1" w:styleId="105">
    <w:name w:val="表内容"/>
    <w:next w:val="1"/>
    <w:qFormat/>
    <w:uiPriority w:val="0"/>
    <w:pPr>
      <w:widowControl w:val="0"/>
      <w:jc w:val="center"/>
    </w:pPr>
    <w:rPr>
      <w:rFonts w:ascii="Times New Roman" w:hAnsi="Times New Roman" w:eastAsia="宋体" w:cs="Times New Roman"/>
      <w:kern w:val="2"/>
      <w:sz w:val="21"/>
      <w:szCs w:val="21"/>
      <w:lang w:val="en-US" w:eastAsia="zh-CN" w:bidi="ar-SA"/>
    </w:rPr>
  </w:style>
  <w:style w:type="paragraph" w:customStyle="1" w:styleId="106">
    <w:name w:val="报告表内竖"/>
    <w:basedOn w:val="1"/>
    <w:qFormat/>
    <w:uiPriority w:val="0"/>
    <w:pPr>
      <w:spacing w:line="240" w:lineRule="auto"/>
      <w:ind w:firstLine="0" w:firstLineChars="0"/>
      <w:jc w:val="center"/>
    </w:pPr>
    <w:rPr>
      <w:rFonts w:ascii="宋体" w:cs="宋体"/>
      <w:color w:val="000000"/>
      <w:szCs w:val="24"/>
    </w:rPr>
  </w:style>
  <w:style w:type="paragraph" w:customStyle="1" w:styleId="107">
    <w:name w:val="Char Char1 Char Char"/>
    <w:basedOn w:val="24"/>
    <w:qFormat/>
    <w:uiPriority w:val="0"/>
    <w:pPr>
      <w:adjustRightInd w:val="0"/>
      <w:spacing w:line="436" w:lineRule="exact"/>
      <w:ind w:left="357"/>
      <w:outlineLvl w:val="3"/>
    </w:pPr>
    <w:rPr>
      <w:rFonts w:ascii="Tahoma" w:hAnsi="Tahoma" w:eastAsia="Times New Roman"/>
      <w:b/>
      <w:sz w:val="44"/>
      <w:szCs w:val="24"/>
      <w:lang w:val="en-US"/>
    </w:rPr>
  </w:style>
  <w:style w:type="paragraph" w:customStyle="1" w:styleId="108">
    <w:name w:val="Char Char Char Char Char Char Char Char Char Char Char Char Char Char Char Char Char Char Char Char Char Char Char Char Char Char Char Char Char Char Char Char Char Char Char Char Char Char Char Char Char Char Char Char Char Char Char Char14"/>
    <w:basedOn w:val="1"/>
    <w:next w:val="1"/>
    <w:semiHidden/>
    <w:qFormat/>
    <w:uiPriority w:val="0"/>
    <w:pPr>
      <w:pBdr>
        <w:right w:val="single" w:color="auto" w:sz="12" w:space="4"/>
      </w:pBdr>
      <w:ind w:firstLine="200"/>
    </w:pPr>
    <w:rPr>
      <w:rFonts w:ascii="宋体" w:hAnsi="宋体" w:cs="宋体"/>
      <w:szCs w:val="24"/>
    </w:rPr>
  </w:style>
  <w:style w:type="character" w:customStyle="1" w:styleId="109">
    <w:name w:val="样式11 Char"/>
    <w:link w:val="110"/>
    <w:qFormat/>
    <w:uiPriority w:val="0"/>
    <w:rPr>
      <w:rFonts w:ascii="宋体"/>
      <w:kern w:val="2"/>
      <w:sz w:val="21"/>
      <w:szCs w:val="24"/>
    </w:rPr>
  </w:style>
  <w:style w:type="paragraph" w:customStyle="1" w:styleId="110">
    <w:name w:val="样式11"/>
    <w:basedOn w:val="29"/>
    <w:link w:val="109"/>
    <w:qFormat/>
    <w:uiPriority w:val="0"/>
    <w:pPr>
      <w:spacing w:line="300" w:lineRule="auto"/>
      <w:jc w:val="center"/>
    </w:pPr>
    <w:rPr>
      <w:rFonts w:hAnsi="Times New Roman"/>
      <w:kern w:val="2"/>
      <w:szCs w:val="24"/>
      <w:lang w:val="en-US"/>
    </w:rPr>
  </w:style>
  <w:style w:type="paragraph" w:customStyle="1" w:styleId="111">
    <w:name w:val="3 Char"/>
    <w:basedOn w:val="1"/>
    <w:next w:val="1"/>
    <w:qFormat/>
    <w:uiPriority w:val="0"/>
    <w:pPr>
      <w:ind w:firstLine="200"/>
    </w:pPr>
    <w:rPr>
      <w:rFonts w:ascii="宋体" w:hAnsi="宋体" w:eastAsia="汉鼎简书宋" w:cs="宋体"/>
      <w:szCs w:val="24"/>
    </w:rPr>
  </w:style>
  <w:style w:type="paragraph" w:customStyle="1" w:styleId="112">
    <w:name w:val="图表标题"/>
    <w:basedOn w:val="1"/>
    <w:qFormat/>
    <w:uiPriority w:val="0"/>
    <w:pPr>
      <w:ind w:firstLine="0" w:firstLineChars="0"/>
      <w:jc w:val="center"/>
    </w:pPr>
    <w:rPr>
      <w:rFonts w:ascii="宋体" w:hAnsi="宋体" w:cs="Times New Roman"/>
      <w:b/>
      <w:color w:val="000000"/>
      <w:spacing w:val="-4"/>
      <w:szCs w:val="24"/>
    </w:rPr>
  </w:style>
  <w:style w:type="paragraph" w:customStyle="1" w:styleId="113">
    <w:name w:val="图表内容"/>
    <w:basedOn w:val="1"/>
    <w:qFormat/>
    <w:uiPriority w:val="0"/>
    <w:pPr>
      <w:autoSpaceDE w:val="0"/>
      <w:autoSpaceDN w:val="0"/>
      <w:adjustRightInd w:val="0"/>
      <w:spacing w:line="240" w:lineRule="auto"/>
      <w:ind w:firstLine="0" w:firstLineChars="0"/>
      <w:jc w:val="center"/>
      <w:textAlignment w:val="baseline"/>
    </w:pPr>
    <w:rPr>
      <w:rFonts w:ascii="宋体" w:hAnsi="宋体" w:cs="Times New Roman"/>
      <w:color w:val="000000"/>
      <w:spacing w:val="-4"/>
      <w:kern w:val="0"/>
      <w:sz w:val="21"/>
      <w:szCs w:val="24"/>
    </w:rPr>
  </w:style>
  <w:style w:type="character" w:customStyle="1" w:styleId="114">
    <w:name w:val="正文（YHY-GDB) Char"/>
    <w:link w:val="115"/>
    <w:qFormat/>
    <w:uiPriority w:val="0"/>
    <w:rPr>
      <w:kern w:val="2"/>
      <w:sz w:val="24"/>
      <w:szCs w:val="24"/>
    </w:rPr>
  </w:style>
  <w:style w:type="paragraph" w:customStyle="1" w:styleId="115">
    <w:name w:val="正文（YHY-GDB)"/>
    <w:basedOn w:val="1"/>
    <w:link w:val="114"/>
    <w:qFormat/>
    <w:uiPriority w:val="0"/>
    <w:pPr>
      <w:spacing w:before="156" w:beforeLines="50" w:after="156" w:afterLines="50"/>
      <w:ind w:firstLine="200"/>
    </w:pPr>
    <w:rPr>
      <w:rFonts w:cs="Times New Roman"/>
      <w:szCs w:val="24"/>
    </w:rPr>
  </w:style>
  <w:style w:type="character" w:customStyle="1" w:styleId="116">
    <w:name w:val="11 Char"/>
    <w:link w:val="117"/>
    <w:qFormat/>
    <w:uiPriority w:val="0"/>
    <w:rPr>
      <w:rFonts w:ascii="宋体"/>
      <w:color w:val="000000"/>
      <w:sz w:val="24"/>
      <w:szCs w:val="24"/>
    </w:rPr>
  </w:style>
  <w:style w:type="paragraph" w:customStyle="1" w:styleId="117">
    <w:name w:val="11"/>
    <w:basedOn w:val="26"/>
    <w:link w:val="116"/>
    <w:qFormat/>
    <w:uiPriority w:val="0"/>
    <w:pPr>
      <w:autoSpaceDE w:val="0"/>
      <w:autoSpaceDN w:val="0"/>
      <w:spacing w:line="360" w:lineRule="auto"/>
      <w:ind w:firstLine="480" w:firstLineChars="200"/>
      <w:jc w:val="both"/>
      <w:textAlignment w:val="baseline"/>
    </w:pPr>
    <w:rPr>
      <w:rFonts w:ascii="宋体"/>
      <w:color w:val="000000"/>
      <w:sz w:val="24"/>
      <w:szCs w:val="24"/>
      <w:lang w:val="en-US"/>
    </w:rPr>
  </w:style>
  <w:style w:type="paragraph" w:customStyle="1" w:styleId="118">
    <w:name w:val="AA表格内容航宇"/>
    <w:basedOn w:val="1"/>
    <w:qFormat/>
    <w:uiPriority w:val="0"/>
    <w:pPr>
      <w:keepNext/>
      <w:adjustRightInd w:val="0"/>
      <w:snapToGrid w:val="0"/>
      <w:spacing w:line="240" w:lineRule="auto"/>
      <w:ind w:firstLine="0" w:firstLineChars="0"/>
      <w:jc w:val="center"/>
    </w:pPr>
    <w:rPr>
      <w:rFonts w:cs="Times New Roman"/>
      <w:sz w:val="21"/>
      <w:szCs w:val="21"/>
    </w:rPr>
  </w:style>
  <w:style w:type="paragraph" w:customStyle="1" w:styleId="119">
    <w:name w:val="正文001"/>
    <w:basedOn w:val="1"/>
    <w:qFormat/>
    <w:uiPriority w:val="0"/>
    <w:pPr>
      <w:spacing w:before="60" w:line="460" w:lineRule="exact"/>
      <w:ind w:firstLine="482" w:firstLineChars="0"/>
    </w:pPr>
    <w:rPr>
      <w:rFonts w:cs="Times New Roman"/>
    </w:rPr>
  </w:style>
  <w:style w:type="character" w:customStyle="1" w:styleId="120">
    <w:name w:val="我的正文 Char"/>
    <w:link w:val="121"/>
    <w:qFormat/>
    <w:uiPriority w:val="0"/>
    <w:rPr>
      <w:kern w:val="2"/>
      <w:sz w:val="24"/>
    </w:rPr>
  </w:style>
  <w:style w:type="paragraph" w:customStyle="1" w:styleId="121">
    <w:name w:val="我的正文"/>
    <w:basedOn w:val="1"/>
    <w:link w:val="120"/>
    <w:qFormat/>
    <w:uiPriority w:val="0"/>
    <w:pPr>
      <w:spacing w:line="440" w:lineRule="exact"/>
      <w:ind w:firstLine="200"/>
    </w:pPr>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emf"/><Relationship Id="rId23" Type="http://schemas.openxmlformats.org/officeDocument/2006/relationships/oleObject" Target="embeddings/oleObject4.bin"/><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emf"/><Relationship Id="rId15" Type="http://schemas.openxmlformats.org/officeDocument/2006/relationships/oleObject" Target="embeddings/oleObject3.bin"/><Relationship Id="rId14" Type="http://schemas.openxmlformats.org/officeDocument/2006/relationships/image" Target="media/image3.emf"/><Relationship Id="rId13" Type="http://schemas.openxmlformats.org/officeDocument/2006/relationships/oleObject" Target="embeddings/oleObject2.bin"/><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7E3ED9-F36A-489D-9FC3-97DC1F980BD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3822</Words>
  <Characters>21792</Characters>
  <Lines>181</Lines>
  <Paragraphs>51</Paragraphs>
  <TotalTime>97</TotalTime>
  <ScaleCrop>false</ScaleCrop>
  <LinksUpToDate>false</LinksUpToDate>
  <CharactersWithSpaces>25563</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2020-03-30T01:53:00Z</dcterms:created>
  <dc:creator>蔚蓝的Sharling-Yan～</dc:creator>
  <cp:lastModifiedBy>lenovo</cp:lastModifiedBy>
  <cp:lastPrinted>2021-01-07T07:27:00Z</cp:lastPrinted>
  <dcterms:modified xsi:type="dcterms:W3CDTF">2024-04-26T09:15:04Z</dcterms:modified>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