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Times New Roman"/>
          <w:color w:val="auto"/>
          <w:sz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lang w:val="en-US" w:eastAsia="zh-CN"/>
        </w:rPr>
        <w:t>创建供销农场，助力</w:t>
      </w:r>
      <w:r>
        <w:rPr>
          <w:rFonts w:hint="eastAsia" w:ascii="方正小标宋_GBK" w:hAnsi="方正小标宋_GBK" w:eastAsia="方正小标宋_GBK" w:cs="Times New Roman"/>
          <w:color w:val="auto"/>
          <w:sz w:val="44"/>
          <w:u w:val="none"/>
          <w:lang w:val="en-US" w:eastAsia="zh-CN"/>
        </w:rPr>
        <w:t>“</w:t>
      </w:r>
      <w:r>
        <w:rPr>
          <w:rFonts w:hint="eastAsia" w:ascii="方正小标宋_GBK" w:hAnsi="方正小标宋_GBK" w:eastAsia="方正小标宋_GBK" w:cs="Times New Roman"/>
          <w:color w:val="auto"/>
          <w:sz w:val="44"/>
          <w:lang w:val="en-US" w:eastAsia="zh-CN"/>
        </w:rPr>
        <w:t>百千万工程</w:t>
      </w:r>
      <w:r>
        <w:rPr>
          <w:rFonts w:hint="eastAsia" w:ascii="方正小标宋_GBK" w:hAnsi="方正小标宋_GBK" w:eastAsia="方正小标宋_GBK" w:cs="Times New Roman"/>
          <w:color w:val="auto"/>
          <w:sz w:val="44"/>
          <w:u w:val="none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Times New Roman"/>
          <w:color w:val="auto"/>
          <w:sz w:val="44"/>
          <w:szCs w:val="20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szCs w:val="20"/>
          <w:lang w:val="en-US" w:eastAsia="zh-CN"/>
        </w:rPr>
        <w:t>落地见效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_GBK" w:hAnsi="方正小标宋_GBK" w:eastAsia="方正小标宋_GBK" w:cs="Times New Roman"/>
          <w:color w:val="auto"/>
          <w:sz w:val="44"/>
          <w:szCs w:val="2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全面贯彻党的二十大精神，认真落实省委“1310”具体部署，聚焦“百千万工程”，持续推进公共型农业社会化服务体系建设，加快培育农业生产社会化服务组织，进一步推动农业集约化、专业化和组织化发展，提升我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粮食等重要农产品生产社会化服务水平，为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连州市供销社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全力打造供销农场，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创新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推动集体经济发展，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发挥联农带农作用，</w:t>
      </w:r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带动农民增收致富。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具体创新举措如下: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sz w:val="32"/>
          <w:lang w:val="en-US" w:eastAsia="zh-CN"/>
        </w:rPr>
        <w:t>一是</w:t>
      </w:r>
      <w:r>
        <w:rPr>
          <w:rFonts w:hint="eastAsia" w:ascii="仿宋_GB2312" w:hAnsi="仿宋_GB2312" w:eastAsia="仿宋_GB2312" w:cs="Times New Roman"/>
          <w:b/>
          <w:sz w:val="32"/>
          <w:u w:val="none"/>
          <w:lang w:val="en-US" w:eastAsia="zh-CN"/>
        </w:rPr>
        <w:t>创新合作模式，</w:t>
      </w:r>
      <w:r>
        <w:rPr>
          <w:rFonts w:hint="eastAsia" w:ascii="仿宋_GB2312" w:hAnsi="仿宋_GB2312" w:eastAsia="仿宋_GB2312" w:cs="Times New Roman"/>
          <w:b/>
          <w:sz w:val="32"/>
          <w:lang w:val="en-US" w:eastAsia="zh-CN"/>
        </w:rPr>
        <w:t>推动</w:t>
      </w:r>
      <w:r>
        <w:rPr>
          <w:rFonts w:hint="eastAsia" w:ascii="仿宋_GB2312" w:hAnsi="仿宋_GB2312" w:eastAsia="仿宋_GB2312" w:cs="Times New Roman"/>
          <w:b/>
          <w:sz w:val="32"/>
          <w:u w:val="none"/>
          <w:lang w:val="en-US" w:eastAsia="zh-CN"/>
        </w:rPr>
        <w:t>社有企业改革</w:t>
      </w:r>
      <w:r>
        <w:rPr>
          <w:rFonts w:hint="eastAsia" w:ascii="仿宋_GB2312" w:hAnsi="仿宋_GB2312" w:eastAsia="仿宋_GB2312" w:cs="Times New Roman"/>
          <w:b/>
          <w:bCs/>
          <w:sz w:val="32"/>
          <w:szCs w:val="20"/>
          <w:lang w:val="en-US" w:eastAsia="zh-CN"/>
        </w:rPr>
        <w:t>和村集体经济融合发展。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供销农场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的实施主体是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由连州市供销社直属企业——连州市连供商贸有限公司牵头组建，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因地制宜，整合资源，联合村委会以及种植大户，撬动社会资本，共同出资组建连州市粤品农业有限公司，创新发展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“社有企业+村集体经济组织+基地+农户”等合作模式，建立“土地流转兜底收益+企业分红+务工劳务收益”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的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利益分配机制，村集体的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每年可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实现增收50元/亩，农民获得保底收益500-700元/亩，农民还可以实现在家门口务工就业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的梦想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，增加收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入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一方面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大大提高农民组织化程度，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壮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大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了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村集体收益，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助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农增收，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另一方面也</w:t>
      </w: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t>提升社有企业综合市场竞争力和经济实力。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sz w:val="32"/>
          <w:lang w:val="en-US" w:eastAsia="zh-CN"/>
        </w:rPr>
        <w:t>二是</w:t>
      </w:r>
      <w:r>
        <w:rPr>
          <w:rFonts w:hint="eastAsia" w:ascii="仿宋_GB2312" w:hAnsi="仿宋_GB2312" w:eastAsia="仿宋_GB2312" w:cs="Times New Roman"/>
          <w:b/>
          <w:sz w:val="32"/>
          <w:u w:val="none"/>
          <w:lang w:val="en-US" w:eastAsia="zh-CN"/>
        </w:rPr>
        <w:t>创新服务方式，开展农业社会化服务，</w:t>
      </w:r>
      <w:r>
        <w:rPr>
          <w:rFonts w:hint="eastAsia" w:ascii="仿宋_GB2312" w:hAnsi="仿宋_GB2312" w:eastAsia="仿宋_GB2312" w:cs="Times New Roman"/>
          <w:b/>
          <w:bCs/>
          <w:sz w:val="32"/>
          <w:szCs w:val="20"/>
          <w:lang w:val="en-US" w:eastAsia="zh-CN"/>
        </w:rPr>
        <w:t>推动农业产业降本增效。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为了贯彻落实党的二十大提出的“发展新型农业经营主体和社会化服务，发展农业适度规模经营”要求，通过政策支持，引导小农户广泛接受各类农业社会化服务，推动发展服务带动规模经营，推动我市农业生产节本增效和农民增收。供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销农场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通过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提供优质优价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的种子、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农药、化肥、种苗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等农业生产资料的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集采服务，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为社员提供农业生产的产前、产中、产后各环节服务，</w:t>
      </w:r>
      <w:r>
        <w:rPr>
          <w:rFonts w:hint="eastAsia" w:ascii="仿宋_GB2312" w:hAnsi="仿宋_GB2312" w:eastAsia="仿宋_GB2312" w:cs="Times New Roman"/>
          <w:b w:val="0"/>
          <w:sz w:val="32"/>
          <w:lang w:val="en-US" w:eastAsia="zh-CN" w:bidi="ar-SA"/>
        </w:rPr>
        <w:t>降低社员种植成本，</w:t>
      </w:r>
      <w:r>
        <w:rPr>
          <w:rFonts w:hint="eastAsia" w:ascii="仿宋_GB2312" w:hAnsi="仿宋_GB2312" w:eastAsia="仿宋_GB2312" w:cs="Times New Roman"/>
          <w:b w:val="0"/>
          <w:sz w:val="32"/>
          <w:u w:val="none"/>
          <w:lang w:val="en-US" w:eastAsia="zh-CN" w:bidi="ar-SA"/>
        </w:rPr>
        <w:t>助农增收</w:t>
      </w:r>
      <w:r>
        <w:rPr>
          <w:rFonts w:hint="eastAsia" w:ascii="仿宋_GB2312" w:hAnsi="仿宋_GB2312" w:eastAsia="仿宋_GB2312" w:cs="Times New Roman"/>
          <w:b w:val="0"/>
          <w:bCs w:val="0"/>
          <w:kern w:val="2"/>
          <w:sz w:val="32"/>
          <w:szCs w:val="20"/>
          <w:lang w:val="en-US" w:eastAsia="zh-CN" w:bidi="ar-SA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20"/>
          <w:lang w:val="en-US" w:eastAsia="zh-CN"/>
        </w:rPr>
        <w:t>三是示范引领，推动“供销农场”模式在全市复制推广。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连州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市供销社已制定创建供销农场实施方案，以连州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镇龙口村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供销农场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为试点，目前供销农场已完成土地流转1050亩，其中连州镇龙口村土地流转600亩，沙坊村流转土地300亩，东陂镇流转土地150亩。预计年度粮食和农作物病虫害飞防服务面积达1.5万余亩次。预计2024年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创建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供销农场10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个，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带动3个村集体年均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增收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3万元以上，带动农民社员约150人在属地务工，农忙季节，人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均增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收约3000元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/月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。下一步，市供销社将总结成功经验，向全市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各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镇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(乡)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复制推广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供销农场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模式，</w:t>
      </w:r>
      <w:r>
        <w:rPr>
          <w:rFonts w:hint="eastAsia" w:ascii="仿宋_GB2312" w:hAnsi="仿宋_GB2312" w:eastAsia="仿宋_GB2312" w:cs="Times New Roman"/>
          <w:sz w:val="32"/>
          <w:u w:val="none"/>
          <w:lang w:val="en-US" w:eastAsia="zh-CN"/>
        </w:rPr>
        <w:t>助力我市“百千万工程”实施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连州市供销合作社联合社</w:t>
      </w:r>
    </w:p>
    <w:p>
      <w:pPr>
        <w:ind w:firstLine="4480" w:firstLineChars="14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2024年4月17日</w:t>
      </w:r>
    </w:p>
    <w:p>
      <w:pPr>
        <w:ind w:firstLine="4160" w:firstLineChars="1300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通讯员：何国辉 卢思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TA1YTg3OGFmMGYwMTQxMDdmOGFiMDlhYzA3YTcifQ=="/>
  </w:docVars>
  <w:rsids>
    <w:rsidRoot w:val="184B7AD3"/>
    <w:rsid w:val="184B7AD3"/>
    <w:rsid w:val="19340528"/>
    <w:rsid w:val="484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2024-04-17T05:42:00Z</dcterms:created>
  <dc:creator>露c仔</dc:creator>
  <cp:lastModifiedBy>露c仔</cp:lastModifiedBy>
  <dcterms:modified xsi:type="dcterms:W3CDTF">2024-04-17T07:53:51Z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2937CFAC2DCD4FF79E22B1961F5916ED_13</vt:lpwstr>
  </property>
</Properties>
</file>