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00" w:lineRule="exact"/>
        <w:jc w:val="center"/>
        <w:rPr>
          <w:rFonts w:hint="eastAsia" w:ascii="方正小标宋简体" w:hAnsi="方正小标宋简体" w:eastAsia="方正小标宋简体" w:cs="方正小标宋简体"/>
          <w:sz w:val="44"/>
          <w:highlight w:val="none"/>
          <w:lang w:eastAsia="zh-CN"/>
        </w:rPr>
      </w:pPr>
      <w:r>
        <w:rPr>
          <w:rFonts w:hint="eastAsia" w:ascii="方正小标宋简体" w:hAnsi="方正小标宋简体" w:eastAsia="方正小标宋简体" w:cs="方正小标宋简体"/>
          <w:sz w:val="44"/>
          <w:highlight w:val="none"/>
        </w:rPr>
        <w:t>连州市东陂镇冯达飞片区改造提升工程项目房屋征收补偿方案</w:t>
      </w:r>
    </w:p>
    <w:p>
      <w:pPr>
        <w:spacing w:line="600" w:lineRule="exact"/>
        <w:jc w:val="center"/>
        <w:rPr>
          <w:rFonts w:hint="default" w:ascii="方正小标宋简体" w:hAnsi="方正小标宋简体" w:eastAsia="方正小标宋简体" w:cs="方正小标宋简体"/>
          <w:sz w:val="44"/>
          <w:highlight w:val="none"/>
          <w:lang w:val="en-US" w:eastAsia="zh-CN"/>
        </w:rPr>
      </w:pPr>
    </w:p>
    <w:p>
      <w:pPr>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推进连州市东陂镇经济、产业发展，切实做好连州市东陂镇“百千万工程”典型镇培育建设项目二期（国家农业产业强镇产业基础设施配套工程）工作，需要对连州市东陂镇冯达飞故居片区部分房屋及土地进行征收，</w:t>
      </w:r>
      <w:r>
        <w:rPr>
          <w:rFonts w:hint="eastAsia" w:ascii="仿宋_GB2312" w:hAnsi="仿宋_GB2312" w:eastAsia="仿宋_GB2312" w:cs="仿宋_GB2312"/>
          <w:kern w:val="0"/>
          <w:sz w:val="32"/>
          <w:szCs w:val="32"/>
          <w:lang w:eastAsia="zh-CN"/>
        </w:rPr>
        <w:t>为确保项目顺利实施，保障被征收房屋所有权人（以下简称被征收人）的合法权益，</w:t>
      </w:r>
      <w:r>
        <w:rPr>
          <w:rFonts w:hint="eastAsia" w:ascii="仿宋_GB2312" w:hAnsi="仿宋_GB2312" w:eastAsia="仿宋_GB2312" w:cs="仿宋_GB2312"/>
          <w:spacing w:val="-4"/>
          <w:sz w:val="32"/>
          <w:szCs w:val="32"/>
        </w:rPr>
        <w:t>根据《</w:t>
      </w:r>
      <w:r>
        <w:rPr>
          <w:rFonts w:hint="eastAsia" w:ascii="仿宋_GB2312" w:hAnsi="仿宋_GB2312" w:eastAsia="仿宋_GB2312" w:cs="仿宋_GB2312"/>
          <w:sz w:val="32"/>
          <w:szCs w:val="32"/>
        </w:rPr>
        <w:t>中华人民共和国土地管理法</w:t>
      </w:r>
      <w:r>
        <w:rPr>
          <w:rFonts w:hint="eastAsia" w:ascii="仿宋_GB2312" w:hAnsi="仿宋_GB2312" w:eastAsia="仿宋_GB2312" w:cs="仿宋_GB2312"/>
          <w:spacing w:val="-4"/>
          <w:sz w:val="32"/>
          <w:szCs w:val="32"/>
        </w:rPr>
        <w:t>》</w:t>
      </w:r>
      <w:r>
        <w:rPr>
          <w:rFonts w:hint="eastAsia" w:ascii="仿宋_GB2312" w:hAnsi="仿宋_GB2312" w:eastAsia="仿宋_GB2312" w:cs="仿宋_GB2312"/>
          <w:sz w:val="32"/>
          <w:szCs w:val="32"/>
        </w:rPr>
        <w:t>《中华人民共和国城乡规划法》《中华人民共和国民法典》</w:t>
      </w:r>
      <w:r>
        <w:rPr>
          <w:rFonts w:hint="eastAsia" w:ascii="仿宋_GB2312" w:hAnsi="仿宋_GB2312" w:eastAsia="仿宋_GB2312" w:cs="仿宋_GB2312"/>
          <w:spacing w:val="-4"/>
          <w:sz w:val="32"/>
          <w:szCs w:val="32"/>
        </w:rPr>
        <w:t>《国有土地上房屋征收与补偿条例》</w:t>
      </w:r>
      <w:r>
        <w:rPr>
          <w:rFonts w:hint="eastAsia" w:ascii="仿宋_GB2312" w:hAnsi="仿宋_GB2312" w:eastAsia="仿宋_GB2312" w:cs="仿宋_GB2312"/>
          <w:spacing w:val="-4"/>
          <w:sz w:val="32"/>
          <w:szCs w:val="32"/>
          <w:lang w:eastAsia="zh-CN"/>
        </w:rPr>
        <w:t>《</w:t>
      </w:r>
      <w:r>
        <w:rPr>
          <w:rFonts w:hint="eastAsia" w:ascii="仿宋_GB2312" w:hAnsi="仿宋_GB2312" w:eastAsia="仿宋_GB2312" w:cs="仿宋_GB2312"/>
          <w:spacing w:val="-4"/>
          <w:sz w:val="32"/>
          <w:szCs w:val="32"/>
          <w:lang w:val="en-US" w:eastAsia="zh-CN"/>
        </w:rPr>
        <w:t>广东省土地管理条例</w:t>
      </w:r>
      <w:r>
        <w:rPr>
          <w:rFonts w:hint="eastAsia" w:ascii="仿宋_GB2312" w:hAnsi="仿宋_GB2312" w:eastAsia="仿宋_GB2312" w:cs="仿宋_GB2312"/>
          <w:spacing w:val="-4"/>
          <w:sz w:val="32"/>
          <w:szCs w:val="32"/>
          <w:lang w:eastAsia="zh-CN"/>
        </w:rPr>
        <w:t>》</w:t>
      </w:r>
      <w:r>
        <w:rPr>
          <w:rFonts w:hint="eastAsia" w:ascii="仿宋_GB2312" w:hAnsi="仿宋_GB2312" w:eastAsia="仿宋_GB2312" w:cs="仿宋_GB2312"/>
          <w:sz w:val="32"/>
          <w:szCs w:val="32"/>
        </w:rPr>
        <w:t>等有关法律、法规，</w:t>
      </w:r>
      <w:r>
        <w:rPr>
          <w:rFonts w:hint="eastAsia" w:ascii="仿宋_GB2312" w:hAnsi="仿宋_GB2312" w:eastAsia="仿宋_GB2312" w:cs="仿宋_GB2312"/>
          <w:spacing w:val="-4"/>
          <w:sz w:val="32"/>
          <w:szCs w:val="32"/>
        </w:rPr>
        <w:t>结合我市实际情况，制定本方案</w:t>
      </w:r>
      <w:r>
        <w:rPr>
          <w:rFonts w:hint="eastAsia" w:ascii="仿宋_GB2312" w:hAnsi="仿宋_GB2312" w:eastAsia="仿宋_GB2312" w:cs="仿宋_GB2312"/>
          <w:spacing w:val="-4"/>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20" w:lineRule="atLeast"/>
        <w:ind w:firstLine="640" w:firstLineChars="200"/>
        <w:textAlignment w:val="auto"/>
        <w:rPr>
          <w:rFonts w:hint="default" w:ascii="仿宋" w:hAnsi="仿宋" w:eastAsia="黑体" w:cs="仿宋"/>
          <w:b/>
          <w:sz w:val="32"/>
          <w:szCs w:val="32"/>
          <w:highlight w:val="none"/>
          <w:lang w:val="en-US" w:eastAsia="zh-CN"/>
        </w:rPr>
      </w:pPr>
      <w:r>
        <w:rPr>
          <w:rFonts w:hint="eastAsia" w:ascii="黑体" w:hAnsi="黑体" w:eastAsia="黑体" w:cs="黑体"/>
          <w:b w:val="0"/>
          <w:bCs/>
          <w:sz w:val="32"/>
          <w:szCs w:val="32"/>
          <w:highlight w:val="none"/>
        </w:rPr>
        <w:t>一、</w:t>
      </w:r>
      <w:r>
        <w:rPr>
          <w:rFonts w:hint="eastAsia" w:ascii="黑体" w:hAnsi="黑体" w:eastAsia="黑体" w:cs="黑体"/>
          <w:b w:val="0"/>
          <w:bCs/>
          <w:sz w:val="32"/>
          <w:szCs w:val="32"/>
          <w:highlight w:val="none"/>
          <w:lang w:val="en-US" w:eastAsia="zh-CN"/>
        </w:rPr>
        <w:t>项目概况</w:t>
      </w:r>
    </w:p>
    <w:p>
      <w:pPr>
        <w:spacing w:line="220" w:lineRule="atLeast"/>
        <w:ind w:firstLine="640"/>
        <w:rPr>
          <w:rFonts w:hint="eastAsia" w:ascii="仿宋_GB2312" w:hAnsi="仿宋_GB2312" w:eastAsia="仿宋_GB2312" w:cs="仿宋_GB2312"/>
          <w:color w:val="auto"/>
          <w:sz w:val="32"/>
          <w:szCs w:val="32"/>
          <w:highlight w:val="yellow"/>
          <w:lang w:eastAsia="zh-CN"/>
        </w:rPr>
      </w:pPr>
      <w:r>
        <w:rPr>
          <w:rFonts w:hint="eastAsia" w:ascii="楷体_GB2312" w:hAnsi="楷体_GB2312" w:eastAsia="楷体_GB2312" w:cs="楷体_GB2312"/>
          <w:sz w:val="32"/>
          <w:szCs w:val="32"/>
          <w:highlight w:val="none"/>
          <w:lang w:val="en-US" w:eastAsia="zh-CN"/>
        </w:rPr>
        <w:t>（一）征收范围：</w:t>
      </w:r>
      <w:r>
        <w:rPr>
          <w:rFonts w:hint="eastAsia" w:ascii="仿宋_GB2312" w:hAnsi="仿宋_GB2312" w:eastAsia="仿宋_GB2312" w:cs="仿宋_GB2312"/>
          <w:sz w:val="32"/>
          <w:szCs w:val="32"/>
          <w:highlight w:val="none"/>
          <w:lang w:val="en-US" w:eastAsia="zh-CN"/>
        </w:rPr>
        <w:t>总占地面积</w:t>
      </w:r>
      <w:r>
        <w:rPr>
          <w:rFonts w:hint="eastAsia" w:ascii="仿宋_GB2312" w:hAnsi="仿宋_GB2312" w:eastAsia="仿宋_GB2312" w:cs="仿宋_GB2312"/>
          <w:sz w:val="32"/>
          <w:szCs w:val="32"/>
          <w:highlight w:val="none"/>
        </w:rPr>
        <w:t>约</w:t>
      </w:r>
      <w:r>
        <w:rPr>
          <w:rFonts w:hint="eastAsia" w:ascii="仿宋_GB2312" w:hAnsi="仿宋_GB2312" w:eastAsia="仿宋_GB2312" w:cs="仿宋_GB2312"/>
          <w:sz w:val="32"/>
          <w:szCs w:val="32"/>
          <w:highlight w:val="none"/>
          <w:lang w:val="en-US" w:eastAsia="zh-CN"/>
        </w:rPr>
        <w:t>3622.99</w:t>
      </w:r>
      <w:r>
        <w:rPr>
          <w:rFonts w:hint="eastAsia" w:ascii="仿宋_GB2312" w:hAnsi="仿宋_GB2312" w:eastAsia="仿宋_GB2312" w:cs="仿宋_GB2312"/>
          <w:sz w:val="32"/>
          <w:szCs w:val="32"/>
          <w:highlight w:val="none"/>
        </w:rPr>
        <w:t>平方米</w:t>
      </w:r>
      <w:r>
        <w:rPr>
          <w:rFonts w:hint="eastAsia" w:ascii="仿宋_GB2312" w:hAnsi="仿宋_GB2312" w:eastAsia="仿宋_GB2312" w:cs="仿宋_GB2312"/>
          <w:sz w:val="32"/>
          <w:szCs w:val="32"/>
          <w:highlight w:val="none"/>
          <w:lang w:eastAsia="zh-CN"/>
        </w:rPr>
        <w:t>，建筑面积约</w:t>
      </w:r>
      <w:r>
        <w:rPr>
          <w:rFonts w:hint="eastAsia" w:ascii="仿宋_GB2312" w:hAnsi="仿宋_GB2312" w:eastAsia="仿宋_GB2312" w:cs="仿宋_GB2312"/>
          <w:sz w:val="32"/>
          <w:szCs w:val="32"/>
          <w:highlight w:val="none"/>
          <w:lang w:val="en-US" w:eastAsia="zh-CN"/>
        </w:rPr>
        <w:t>3551.70平方米。</w:t>
      </w:r>
      <w:r>
        <w:rPr>
          <w:rFonts w:hint="eastAsia" w:ascii="仿宋_GB2312" w:hAnsi="仿宋_GB2312" w:eastAsia="仿宋_GB2312" w:cs="仿宋_GB2312"/>
          <w:sz w:val="32"/>
          <w:szCs w:val="32"/>
          <w:highlight w:val="none"/>
        </w:rPr>
        <w:t>涉及</w:t>
      </w:r>
      <w:r>
        <w:rPr>
          <w:rFonts w:hint="eastAsia" w:ascii="仿宋_GB2312" w:hAnsi="仿宋_GB2312" w:eastAsia="仿宋_GB2312" w:cs="仿宋_GB2312"/>
          <w:kern w:val="0"/>
          <w:sz w:val="32"/>
          <w:szCs w:val="32"/>
          <w:highlight w:val="none"/>
          <w:lang w:eastAsia="zh-CN"/>
        </w:rPr>
        <w:t>被征收人</w:t>
      </w:r>
      <w:r>
        <w:rPr>
          <w:rFonts w:hint="eastAsia" w:ascii="仿宋_GB2312" w:hAnsi="仿宋_GB2312" w:eastAsia="仿宋_GB2312" w:cs="仿宋_GB2312"/>
          <w:sz w:val="32"/>
          <w:szCs w:val="32"/>
          <w:highlight w:val="none"/>
          <w:lang w:val="en-US" w:eastAsia="zh-CN"/>
        </w:rPr>
        <w:t>约75户。</w:t>
      </w:r>
      <w:r>
        <w:rPr>
          <w:rFonts w:hint="eastAsia" w:ascii="仿宋_GB2312" w:hAnsi="仿宋_GB2312" w:eastAsia="仿宋_GB2312" w:cs="仿宋_GB2312"/>
          <w:sz w:val="32"/>
          <w:szCs w:val="32"/>
          <w:highlight w:val="none"/>
        </w:rPr>
        <w:t>范围详见附件1：</w:t>
      </w:r>
      <w:r>
        <w:rPr>
          <w:rFonts w:hint="eastAsia" w:ascii="仿宋_GB2312" w:hAnsi="仿宋_GB2312" w:eastAsia="仿宋_GB2312" w:cs="仿宋_GB2312"/>
          <w:kern w:val="0"/>
          <w:sz w:val="32"/>
          <w:szCs w:val="32"/>
          <w:highlight w:val="none"/>
          <w:shd w:val="clear" w:color="auto" w:fill="FFFFFF"/>
          <w:lang w:val="en-US" w:eastAsia="zh-CN"/>
        </w:rPr>
        <w:t>连州市东陂镇冯达飞片区改造提升工程项目</w:t>
      </w:r>
      <w:r>
        <w:rPr>
          <w:rFonts w:hint="eastAsia" w:ascii="仿宋_GB2312" w:hAnsi="仿宋_GB2312" w:eastAsia="仿宋_GB2312" w:cs="仿宋_GB2312"/>
          <w:kern w:val="0"/>
          <w:sz w:val="32"/>
          <w:szCs w:val="32"/>
          <w:highlight w:val="none"/>
          <w:shd w:val="clear" w:color="auto" w:fill="FFFFFF"/>
        </w:rPr>
        <w:t>房屋</w:t>
      </w:r>
      <w:r>
        <w:rPr>
          <w:rFonts w:hint="eastAsia" w:ascii="仿宋_GB2312" w:hAnsi="仿宋_GB2312" w:eastAsia="仿宋_GB2312" w:cs="仿宋_GB2312"/>
          <w:color w:val="auto"/>
          <w:sz w:val="32"/>
          <w:szCs w:val="32"/>
          <w:highlight w:val="none"/>
          <w:lang w:eastAsia="zh-CN"/>
        </w:rPr>
        <w:t>征收</w:t>
      </w:r>
      <w:r>
        <w:rPr>
          <w:rFonts w:hint="eastAsia" w:ascii="仿宋_GB2312" w:hAnsi="仿宋_GB2312" w:eastAsia="仿宋_GB2312" w:cs="仿宋_GB2312"/>
          <w:color w:val="auto"/>
          <w:sz w:val="32"/>
          <w:szCs w:val="32"/>
          <w:highlight w:val="none"/>
          <w:lang w:val="en-US" w:eastAsia="zh-CN"/>
        </w:rPr>
        <w:t>范围</w:t>
      </w:r>
      <w:r>
        <w:rPr>
          <w:rFonts w:hint="eastAsia" w:ascii="仿宋_GB2312" w:hAnsi="仿宋_GB2312" w:eastAsia="仿宋_GB2312" w:cs="仿宋_GB2312"/>
          <w:color w:val="auto"/>
          <w:sz w:val="32"/>
          <w:szCs w:val="32"/>
          <w:highlight w:val="none"/>
        </w:rPr>
        <w:t>图。</w:t>
      </w:r>
    </w:p>
    <w:p>
      <w:pPr>
        <w:spacing w:line="220" w:lineRule="atLeast"/>
        <w:ind w:firstLine="640"/>
        <w:rPr>
          <w:rFonts w:hint="default" w:ascii="仿宋" w:hAnsi="仿宋" w:eastAsia="仿宋" w:cs="仿宋"/>
          <w:color w:val="auto"/>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（二）地块规划用途：</w:t>
      </w:r>
      <w:r>
        <w:rPr>
          <w:rFonts w:hint="eastAsia" w:ascii="仿宋_GB2312" w:hAnsi="仿宋_GB2312" w:eastAsia="仿宋_GB2312" w:cs="仿宋_GB2312"/>
          <w:color w:val="auto"/>
          <w:sz w:val="32"/>
          <w:szCs w:val="32"/>
          <w:highlight w:val="none"/>
          <w:lang w:val="en-US" w:eastAsia="zh-CN"/>
        </w:rPr>
        <w:t>通过实施冯达飞片区改造提升，进一步疏导片区空间，激活文旅资源，以航空先驱、英雄故里为核心，打造广东省爱国主义教育基地。</w:t>
      </w:r>
    </w:p>
    <w:p>
      <w:pPr>
        <w:spacing w:line="220" w:lineRule="atLeast"/>
        <w:ind w:firstLine="640"/>
        <w:rPr>
          <w:rFonts w:hint="eastAsia" w:ascii="仿宋" w:hAnsi="仿宋" w:eastAsia="仿宋" w:cs="仿宋"/>
          <w:color w:val="auto"/>
          <w:sz w:val="32"/>
          <w:szCs w:val="32"/>
          <w:highlight w:val="none"/>
          <w:lang w:val="en-US" w:eastAsia="zh-CN"/>
        </w:rPr>
      </w:pPr>
      <w:r>
        <w:rPr>
          <w:rFonts w:hint="eastAsia" w:ascii="楷体_GB2312" w:hAnsi="楷体_GB2312" w:eastAsia="楷体_GB2312" w:cs="楷体_GB2312"/>
          <w:sz w:val="32"/>
          <w:szCs w:val="32"/>
          <w:highlight w:val="none"/>
          <w:lang w:val="en-US" w:eastAsia="zh-CN"/>
        </w:rPr>
        <w:t>（三）补偿协议签订期限：</w:t>
      </w:r>
      <w:r>
        <w:rPr>
          <w:rFonts w:hint="eastAsia" w:ascii="仿宋_GB2312" w:hAnsi="仿宋_GB2312" w:eastAsia="仿宋_GB2312" w:cs="仿宋_GB2312"/>
          <w:color w:val="auto"/>
          <w:sz w:val="32"/>
          <w:szCs w:val="32"/>
          <w:highlight w:val="none"/>
          <w:lang w:val="en-US" w:eastAsia="zh-CN"/>
        </w:rPr>
        <w:t>自征收决定公告之日起90日内。</w:t>
      </w:r>
    </w:p>
    <w:p>
      <w:pPr>
        <w:spacing w:line="220" w:lineRule="atLeast"/>
        <w:ind w:firstLine="640"/>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sz w:val="32"/>
          <w:szCs w:val="32"/>
          <w:highlight w:val="none"/>
          <w:lang w:val="en-US" w:eastAsia="zh-CN"/>
        </w:rPr>
        <w:t>（四）征收补偿工作职责：</w:t>
      </w:r>
      <w:r>
        <w:rPr>
          <w:rFonts w:hint="eastAsia" w:ascii="仿宋_GB2312" w:hAnsi="仿宋_GB2312" w:eastAsia="仿宋_GB2312" w:cs="仿宋_GB2312"/>
          <w:color w:val="auto"/>
          <w:sz w:val="32"/>
          <w:szCs w:val="32"/>
          <w:highlight w:val="none"/>
          <w:lang w:val="en-US" w:eastAsia="zh-CN"/>
        </w:rPr>
        <w:t>征收补偿工作由连州市人民政府负责，连州市自然资源局作为征收部门依法组织实施，连州市东陂镇人民政府作为征收实施单位承担征收与补偿的具体工作。</w:t>
      </w:r>
    </w:p>
    <w:p>
      <w:pPr>
        <w:spacing w:line="220" w:lineRule="atLeast"/>
        <w:ind w:firstLine="640" w:firstLineChars="200"/>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rPr>
        <w:t>二、征收的主体、</w:t>
      </w:r>
      <w:r>
        <w:rPr>
          <w:rFonts w:hint="eastAsia" w:ascii="黑体" w:hAnsi="黑体" w:eastAsia="黑体" w:cs="黑体"/>
          <w:b w:val="0"/>
          <w:bCs w:val="0"/>
          <w:sz w:val="32"/>
          <w:szCs w:val="32"/>
          <w:highlight w:val="none"/>
          <w:lang w:eastAsia="zh-CN"/>
        </w:rPr>
        <w:t>被征收人、</w:t>
      </w:r>
      <w:r>
        <w:rPr>
          <w:rFonts w:hint="eastAsia" w:ascii="黑体" w:hAnsi="黑体" w:eastAsia="黑体" w:cs="黑体"/>
          <w:b w:val="0"/>
          <w:bCs w:val="0"/>
          <w:sz w:val="32"/>
          <w:szCs w:val="32"/>
          <w:highlight w:val="none"/>
        </w:rPr>
        <w:t>监管部门</w:t>
      </w:r>
      <w:r>
        <w:rPr>
          <w:rFonts w:hint="eastAsia" w:ascii="黑体" w:hAnsi="黑体" w:eastAsia="黑体" w:cs="黑体"/>
          <w:b w:val="0"/>
          <w:bCs w:val="0"/>
          <w:sz w:val="32"/>
          <w:szCs w:val="32"/>
          <w:highlight w:val="none"/>
          <w:lang w:eastAsia="zh-CN"/>
        </w:rPr>
        <w:t>及实施单位</w:t>
      </w:r>
    </w:p>
    <w:p>
      <w:pPr>
        <w:spacing w:line="220" w:lineRule="atLeast"/>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楷体_GB2312" w:hAnsi="楷体_GB2312" w:eastAsia="楷体_GB2312" w:cs="楷体"/>
          <w:b w:val="0"/>
          <w:bCs w:val="0"/>
          <w:sz w:val="32"/>
          <w:szCs w:val="32"/>
          <w:highlight w:val="none"/>
          <w:lang w:val="en-US" w:eastAsia="zh-CN"/>
        </w:rPr>
        <w:t>（一）征收主体：</w:t>
      </w:r>
      <w:r>
        <w:rPr>
          <w:rFonts w:hint="eastAsia" w:ascii="仿宋_GB2312" w:hAnsi="仿宋_GB2312" w:eastAsia="仿宋_GB2312" w:cs="仿宋_GB2312"/>
          <w:sz w:val="32"/>
          <w:szCs w:val="32"/>
          <w:highlight w:val="none"/>
        </w:rPr>
        <w:t xml:space="preserve">连州市人民政府  </w:t>
      </w:r>
      <w:r>
        <w:rPr>
          <w:rFonts w:hint="eastAsia" w:ascii="仿宋" w:hAnsi="仿宋" w:eastAsia="仿宋" w:cs="仿宋"/>
          <w:sz w:val="32"/>
          <w:szCs w:val="32"/>
          <w:highlight w:val="none"/>
        </w:rPr>
        <w:t xml:space="preserve">            </w:t>
      </w:r>
    </w:p>
    <w:p>
      <w:pPr>
        <w:spacing w:line="220" w:lineRule="atLeas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
          <w:b w:val="0"/>
          <w:bCs w:val="0"/>
          <w:sz w:val="32"/>
          <w:szCs w:val="32"/>
          <w:highlight w:val="none"/>
          <w:lang w:val="en-US" w:eastAsia="zh-CN"/>
        </w:rPr>
        <w:t>（二）被征收人：</w:t>
      </w:r>
      <w:r>
        <w:rPr>
          <w:rFonts w:hint="eastAsia" w:ascii="仿宋_GB2312" w:hAnsi="仿宋_GB2312" w:eastAsia="仿宋_GB2312" w:cs="仿宋_GB2312"/>
          <w:sz w:val="32"/>
          <w:szCs w:val="32"/>
          <w:highlight w:val="none"/>
        </w:rPr>
        <w:t>规划征收范围内的土地、房屋权属人</w:t>
      </w:r>
    </w:p>
    <w:p>
      <w:pPr>
        <w:spacing w:line="220" w:lineRule="atLeast"/>
        <w:ind w:left="3156" w:leftChars="284" w:hanging="2560" w:hangingChars="800"/>
        <w:rPr>
          <w:rFonts w:hint="eastAsia" w:ascii="仿宋_GB2312" w:hAnsi="仿宋_GB2312" w:eastAsia="仿宋_GB2312" w:cs="仿宋_GB2312"/>
          <w:color w:val="000000"/>
          <w:sz w:val="32"/>
          <w:szCs w:val="32"/>
          <w:highlight w:val="none"/>
          <w:lang w:eastAsia="zh-CN"/>
        </w:rPr>
      </w:pPr>
      <w:r>
        <w:rPr>
          <w:rFonts w:hint="eastAsia" w:ascii="楷体_GB2312" w:hAnsi="楷体_GB2312" w:eastAsia="楷体_GB2312" w:cs="楷体"/>
          <w:b w:val="0"/>
          <w:bCs w:val="0"/>
          <w:sz w:val="32"/>
          <w:szCs w:val="32"/>
          <w:highlight w:val="none"/>
          <w:lang w:val="en-US" w:eastAsia="zh-CN"/>
        </w:rPr>
        <w:t>（三）监管部门：</w:t>
      </w:r>
      <w:r>
        <w:rPr>
          <w:rFonts w:hint="eastAsia" w:ascii="仿宋_GB2312" w:hAnsi="仿宋_GB2312" w:eastAsia="仿宋_GB2312" w:cs="仿宋_GB2312"/>
          <w:color w:val="000000"/>
          <w:sz w:val="32"/>
          <w:szCs w:val="32"/>
          <w:highlight w:val="none"/>
        </w:rPr>
        <w:t>连州市住房和城乡建设局</w:t>
      </w:r>
    </w:p>
    <w:p>
      <w:pPr>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
          <w:b w:val="0"/>
          <w:bCs w:val="0"/>
          <w:sz w:val="32"/>
          <w:szCs w:val="32"/>
          <w:highlight w:val="none"/>
          <w:lang w:val="en-US" w:eastAsia="zh-CN"/>
        </w:rPr>
        <w:t>（四）实施单位：</w:t>
      </w:r>
      <w:r>
        <w:rPr>
          <w:rFonts w:hint="eastAsia" w:ascii="仿宋_GB2312" w:hAnsi="仿宋_GB2312" w:eastAsia="仿宋_GB2312" w:cs="仿宋_GB2312"/>
          <w:sz w:val="32"/>
          <w:szCs w:val="32"/>
          <w:highlight w:val="none"/>
        </w:rPr>
        <w:t>连州市</w:t>
      </w:r>
      <w:r>
        <w:rPr>
          <w:rFonts w:hint="eastAsia" w:ascii="仿宋_GB2312" w:hAnsi="仿宋_GB2312" w:eastAsia="仿宋_GB2312" w:cs="仿宋_GB2312"/>
          <w:sz w:val="32"/>
          <w:szCs w:val="32"/>
          <w:highlight w:val="none"/>
          <w:lang w:val="en-US" w:eastAsia="zh-CN"/>
        </w:rPr>
        <w:t>东陂镇</w:t>
      </w:r>
      <w:r>
        <w:rPr>
          <w:rFonts w:hint="eastAsia" w:ascii="仿宋_GB2312" w:hAnsi="仿宋_GB2312" w:eastAsia="仿宋_GB2312" w:cs="仿宋_GB2312"/>
          <w:sz w:val="32"/>
          <w:szCs w:val="32"/>
          <w:highlight w:val="none"/>
        </w:rPr>
        <w:t>人民政府</w:t>
      </w:r>
    </w:p>
    <w:p>
      <w:pPr>
        <w:spacing w:line="600" w:lineRule="exact"/>
        <w:ind w:firstLine="640" w:firstLineChars="20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三、</w:t>
      </w:r>
      <w:r>
        <w:rPr>
          <w:rFonts w:hint="eastAsia" w:ascii="黑体" w:hAnsi="黑体" w:eastAsia="黑体" w:cs="黑体"/>
          <w:b w:val="0"/>
          <w:bCs w:val="0"/>
          <w:sz w:val="32"/>
          <w:szCs w:val="32"/>
          <w:highlight w:val="none"/>
          <w:lang w:eastAsia="zh-CN"/>
        </w:rPr>
        <w:t>补偿</w:t>
      </w:r>
      <w:r>
        <w:rPr>
          <w:rFonts w:hint="eastAsia" w:ascii="黑体" w:hAnsi="黑体" w:eastAsia="黑体" w:cs="黑体"/>
          <w:b w:val="0"/>
          <w:bCs w:val="0"/>
          <w:sz w:val="32"/>
          <w:szCs w:val="32"/>
          <w:highlight w:val="none"/>
          <w:lang w:val="en-US" w:eastAsia="zh-CN"/>
        </w:rPr>
        <w:t>安置</w:t>
      </w:r>
      <w:r>
        <w:rPr>
          <w:rFonts w:hint="eastAsia" w:ascii="黑体" w:hAnsi="黑体" w:eastAsia="黑体" w:cs="黑体"/>
          <w:b w:val="0"/>
          <w:bCs w:val="0"/>
          <w:sz w:val="32"/>
          <w:szCs w:val="32"/>
          <w:highlight w:val="none"/>
        </w:rPr>
        <w:t>方式</w:t>
      </w:r>
    </w:p>
    <w:p>
      <w:pPr>
        <w:numPr>
          <w:ilvl w:val="0"/>
          <w:numId w:val="0"/>
        </w:numPr>
        <w:spacing w:line="600" w:lineRule="exact"/>
        <w:ind w:firstLine="640" w:firstLineChars="200"/>
        <w:rPr>
          <w:rFonts w:hint="default" w:ascii="仿宋_GB2312" w:hAnsi="仿宋_GB2312" w:eastAsia="仿宋_GB2312" w:cs="仿宋"/>
          <w:sz w:val="32"/>
          <w:szCs w:val="32"/>
          <w:highlight w:val="none"/>
          <w:lang w:val="en-US" w:eastAsia="zh-CN"/>
        </w:rPr>
      </w:pPr>
      <w:r>
        <w:rPr>
          <w:rFonts w:hint="eastAsia" w:ascii="仿宋_GB2312" w:hAnsi="仿宋_GB2312" w:eastAsia="仿宋_GB2312" w:cs="仿宋"/>
          <w:sz w:val="32"/>
          <w:szCs w:val="32"/>
          <w:highlight w:val="none"/>
          <w:lang w:eastAsia="zh-CN"/>
        </w:rPr>
        <w:t>根据相关法律、法规和政策的规定，结合此地块的实际情况，房屋征收实行货币补偿和</w:t>
      </w:r>
      <w:r>
        <w:rPr>
          <w:rFonts w:hint="eastAsia" w:ascii="仿宋_GB2312" w:hAnsi="仿宋_GB2312" w:eastAsia="仿宋_GB2312" w:cs="仿宋_GB2312"/>
          <w:sz w:val="32"/>
          <w:szCs w:val="32"/>
          <w:highlight w:val="none"/>
          <w:lang w:eastAsia="zh-CN"/>
        </w:rPr>
        <w:t>异地</w:t>
      </w:r>
      <w:r>
        <w:rPr>
          <w:rFonts w:hint="eastAsia" w:ascii="仿宋_GB2312" w:hAnsi="仿宋_GB2312" w:eastAsia="仿宋_GB2312" w:cs="仿宋_GB2312"/>
          <w:b w:val="0"/>
          <w:bCs w:val="0"/>
          <w:sz w:val="32"/>
          <w:szCs w:val="32"/>
          <w:highlight w:val="none"/>
          <w:lang w:val="en-US" w:eastAsia="zh-CN"/>
        </w:rPr>
        <w:t>安置</w:t>
      </w:r>
      <w:r>
        <w:rPr>
          <w:rFonts w:hint="eastAsia" w:ascii="仿宋_GB2312" w:hAnsi="仿宋_GB2312" w:eastAsia="仿宋_GB2312" w:cs="仿宋_GB2312"/>
          <w:sz w:val="32"/>
          <w:szCs w:val="32"/>
          <w:highlight w:val="none"/>
          <w:lang w:eastAsia="zh-CN"/>
        </w:rPr>
        <w:t>两</w:t>
      </w:r>
      <w:r>
        <w:rPr>
          <w:rFonts w:hint="eastAsia" w:ascii="仿宋_GB2312" w:hAnsi="仿宋_GB2312" w:eastAsia="仿宋_GB2312" w:cs="仿宋"/>
          <w:sz w:val="32"/>
          <w:szCs w:val="32"/>
          <w:highlight w:val="none"/>
          <w:lang w:eastAsia="zh-CN"/>
        </w:rPr>
        <w:t>种方式</w:t>
      </w:r>
      <w:r>
        <w:rPr>
          <w:rFonts w:hint="eastAsia" w:ascii="仿宋_GB2312" w:hAnsi="仿宋_GB2312" w:eastAsia="仿宋_GB2312" w:cs="仿宋"/>
          <w:sz w:val="32"/>
          <w:szCs w:val="32"/>
          <w:highlight w:val="none"/>
        </w:rPr>
        <w:t>，由</w:t>
      </w:r>
      <w:r>
        <w:rPr>
          <w:rFonts w:hint="eastAsia" w:ascii="仿宋_GB2312" w:hAnsi="仿宋_GB2312" w:eastAsia="仿宋_GB2312" w:cs="仿宋"/>
          <w:sz w:val="32"/>
          <w:szCs w:val="32"/>
          <w:highlight w:val="none"/>
          <w:lang w:eastAsia="zh-CN"/>
        </w:rPr>
        <w:t>被征收人</w:t>
      </w:r>
      <w:r>
        <w:rPr>
          <w:rFonts w:hint="eastAsia" w:ascii="仿宋_GB2312" w:hAnsi="仿宋_GB2312" w:eastAsia="仿宋_GB2312" w:cs="仿宋"/>
          <w:sz w:val="32"/>
          <w:szCs w:val="32"/>
          <w:highlight w:val="none"/>
        </w:rPr>
        <w:t>自行选择一种方式进行补偿</w:t>
      </w:r>
      <w:r>
        <w:rPr>
          <w:rFonts w:hint="eastAsia" w:ascii="仿宋_GB2312" w:hAnsi="仿宋_GB2312" w:eastAsia="仿宋_GB2312" w:cs="仿宋"/>
          <w:sz w:val="32"/>
          <w:szCs w:val="32"/>
          <w:highlight w:val="none"/>
          <w:lang w:eastAsia="zh-CN"/>
        </w:rPr>
        <w:t>，宅基地（无地面附着物）由政府统一征收，</w:t>
      </w:r>
      <w:r>
        <w:rPr>
          <w:rFonts w:hint="eastAsia" w:ascii="仿宋_GB2312" w:hAnsi="仿宋_GB2312" w:eastAsia="仿宋_GB2312" w:cs="仿宋"/>
          <w:sz w:val="32"/>
          <w:szCs w:val="32"/>
          <w:highlight w:val="none"/>
          <w:lang w:val="en-US" w:eastAsia="zh-CN"/>
        </w:rPr>
        <w:t>产权置换后的房产证办证费用由实施单位承担。</w:t>
      </w:r>
    </w:p>
    <w:p>
      <w:pPr>
        <w:numPr>
          <w:ilvl w:val="0"/>
          <w:numId w:val="0"/>
        </w:numPr>
        <w:spacing w:line="600" w:lineRule="exact"/>
        <w:ind w:firstLine="640" w:firstLineChars="200"/>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（一）货币补偿</w:t>
      </w:r>
    </w:p>
    <w:p>
      <w:pPr>
        <w:numPr>
          <w:ilvl w:val="0"/>
          <w:numId w:val="0"/>
        </w:numPr>
        <w:spacing w:line="560" w:lineRule="exact"/>
        <w:ind w:firstLine="640" w:firstLineChars="200"/>
        <w:rPr>
          <w:rFonts w:hint="eastAsia" w:ascii="仿宋_GB2312" w:hAnsi="仿宋_GB2312" w:eastAsia="仿宋_GB2312" w:cs="仿宋"/>
          <w:sz w:val="32"/>
          <w:szCs w:val="32"/>
          <w:highlight w:val="none"/>
          <w:lang w:eastAsia="zh-CN"/>
        </w:rPr>
      </w:pPr>
      <w:r>
        <w:rPr>
          <w:rFonts w:hint="eastAsia" w:ascii="仿宋_GB2312" w:hAnsi="仿宋_GB2312" w:eastAsia="仿宋_GB2312" w:cs="仿宋"/>
          <w:sz w:val="32"/>
          <w:szCs w:val="32"/>
          <w:highlight w:val="none"/>
          <w:lang w:eastAsia="zh-CN"/>
        </w:rPr>
        <w:t>被征收房屋的补偿标准不低于房屋征收决定公告之日被征收房屋类似房地产的市场价格。</w:t>
      </w:r>
      <w:r>
        <w:rPr>
          <w:rFonts w:hint="eastAsia" w:ascii="仿宋_GB2312" w:hAnsi="仿宋_GB2312" w:eastAsia="仿宋_GB2312" w:cs="仿宋"/>
          <w:color w:val="000000"/>
          <w:sz w:val="32"/>
          <w:szCs w:val="32"/>
          <w:highlight w:val="none"/>
          <w:lang w:eastAsia="zh-CN"/>
        </w:rPr>
        <w:t>被征收房屋的价值，由具有相应资质的房地产价格评估机构按照房屋征收评估办法评估确定（评估的时间为征收决定公告之日），</w:t>
      </w:r>
      <w:r>
        <w:rPr>
          <w:rFonts w:hint="eastAsia" w:ascii="仿宋_GB2312" w:hAnsi="仿宋_GB2312" w:eastAsia="仿宋_GB2312" w:cs="仿宋"/>
          <w:sz w:val="32"/>
          <w:szCs w:val="32"/>
          <w:highlight w:val="none"/>
          <w:lang w:eastAsia="zh-CN"/>
        </w:rPr>
        <w:t>结合房屋的权益状况，加上按规定应补偿的搬迁费、电视电话空调迁移费等进行一次性补偿。</w:t>
      </w:r>
    </w:p>
    <w:p>
      <w:pPr>
        <w:numPr>
          <w:ilvl w:val="0"/>
          <w:numId w:val="0"/>
        </w:numPr>
        <w:spacing w:line="560" w:lineRule="exact"/>
        <w:ind w:firstLine="640" w:firstLineChars="200"/>
        <w:rPr>
          <w:rFonts w:hint="eastAsia" w:ascii="仿宋_GB2312" w:hAnsi="仿宋_GB2312" w:eastAsia="仿宋_GB2312" w:cs="仿宋"/>
          <w:sz w:val="32"/>
          <w:szCs w:val="32"/>
          <w:highlight w:val="none"/>
          <w:lang w:eastAsia="zh-CN"/>
        </w:rPr>
      </w:pPr>
      <w:r>
        <w:rPr>
          <w:rFonts w:hint="eastAsia" w:ascii="仿宋_GB2312" w:hAnsi="仿宋_GB2312" w:eastAsia="仿宋_GB2312" w:cs="仿宋"/>
          <w:sz w:val="32"/>
          <w:szCs w:val="32"/>
          <w:highlight w:val="none"/>
          <w:lang w:val="en-US" w:eastAsia="zh-CN"/>
        </w:rPr>
        <w:t>按照《农村宅基地管理办法》，农户在满足“一户一宅”的条件下，优先采用宅基地异地安置</w:t>
      </w:r>
      <w:r>
        <w:rPr>
          <w:rFonts w:hint="eastAsia" w:ascii="仿宋_GB2312" w:hAnsi="仿宋_GB2312" w:eastAsia="仿宋_GB2312" w:cs="仿宋"/>
          <w:sz w:val="32"/>
          <w:szCs w:val="32"/>
          <w:highlight w:val="none"/>
          <w:lang w:eastAsia="zh-CN"/>
        </w:rPr>
        <w:t>。其他情况按相关规定办理。</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firstLine="640" w:firstLineChars="200"/>
        <w:textAlignment w:val="auto"/>
        <w:outlineLvl w:val="9"/>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（二）异地安置</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firstLine="640"/>
        <w:textAlignment w:val="auto"/>
        <w:outlineLvl w:val="9"/>
        <w:rPr>
          <w:rFonts w:hint="eastAsia" w:ascii="仿宋_GB2312" w:hAnsi="仿宋_GB2312" w:eastAsia="仿宋_GB2312" w:cs="仿宋"/>
          <w:sz w:val="32"/>
          <w:szCs w:val="32"/>
          <w:highlight w:val="none"/>
          <w:lang w:val="en-US" w:eastAsia="zh-CN"/>
        </w:rPr>
      </w:pPr>
      <w:r>
        <w:rPr>
          <w:rFonts w:hint="eastAsia" w:ascii="仿宋_GB2312" w:hAnsi="仿宋_GB2312" w:eastAsia="仿宋_GB2312" w:cs="仿宋"/>
          <w:sz w:val="32"/>
          <w:szCs w:val="32"/>
          <w:highlight w:val="none"/>
          <w:lang w:val="en-US" w:eastAsia="zh-CN"/>
        </w:rPr>
        <w:t>立足于最大限度实现公平、公正，寻求理性的布局模式--符合经济和秩序美的原则。本次安置规划按被征收人被征收房屋的原</w:t>
      </w:r>
      <w:r>
        <w:rPr>
          <w:rFonts w:hint="eastAsia" w:ascii="仿宋_GB2312" w:hAnsi="仿宋_GB2312" w:eastAsia="仿宋_GB2312" w:cs="仿宋"/>
          <w:color w:val="000000"/>
          <w:sz w:val="32"/>
          <w:szCs w:val="32"/>
          <w:highlight w:val="none"/>
          <w:lang w:val="en-US" w:eastAsia="zh-CN"/>
        </w:rPr>
        <w:t>占地面积，按照</w:t>
      </w:r>
      <w:r>
        <w:rPr>
          <w:rFonts w:hint="eastAsia" w:ascii="仿宋_GB2312" w:hAnsi="仿宋_GB2312" w:eastAsia="仿宋_GB2312" w:cs="仿宋"/>
          <w:sz w:val="32"/>
          <w:szCs w:val="32"/>
          <w:highlight w:val="none"/>
          <w:lang w:val="en-US" w:eastAsia="zh-CN"/>
        </w:rPr>
        <w:t>1:1等价值置换，置换土地面积误差在1.00平方米以内。如被征收人原有的土地使用证中使用权类型为出让的则等价值置换为国有土地使用证使用权类型为出让，其他按照国有土地使用权为划拨形式置换。建设方式分为统一建设和建设费用补偿两种方式。</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firstLine="640" w:firstLineChars="200"/>
        <w:textAlignment w:val="auto"/>
        <w:outlineLvl w:val="9"/>
        <w:rPr>
          <w:rFonts w:hint="eastAsia" w:ascii="仿宋_GB2312" w:hAnsi="仿宋_GB2312" w:eastAsia="仿宋_GB2312" w:cs="仿宋"/>
          <w:sz w:val="32"/>
          <w:szCs w:val="32"/>
          <w:highlight w:val="none"/>
          <w:lang w:val="en-US"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
          <w:sz w:val="32"/>
          <w:szCs w:val="32"/>
          <w:highlight w:val="none"/>
          <w:lang w:val="en-US" w:eastAsia="zh-CN"/>
        </w:rPr>
        <w:t>统一建设：由</w:t>
      </w:r>
      <w:r>
        <w:rPr>
          <w:rFonts w:hint="eastAsia" w:ascii="仿宋_GB2312" w:hAnsi="仿宋_GB2312" w:eastAsia="仿宋_GB2312" w:cs="仿宋_GB2312"/>
          <w:sz w:val="32"/>
          <w:szCs w:val="32"/>
          <w:highlight w:val="none"/>
        </w:rPr>
        <w:t>实施单位</w:t>
      </w:r>
      <w:r>
        <w:rPr>
          <w:rFonts w:hint="eastAsia" w:ascii="仿宋_GB2312" w:hAnsi="仿宋_GB2312" w:eastAsia="仿宋_GB2312" w:cs="仿宋"/>
          <w:sz w:val="32"/>
          <w:szCs w:val="32"/>
          <w:highlight w:val="none"/>
          <w:lang w:val="en-US" w:eastAsia="zh-CN"/>
        </w:rPr>
        <w:t>统一招标具备建设资质的公司，对异地安置房屋进行设计和建设；</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firstLine="640" w:firstLineChars="200"/>
        <w:textAlignment w:val="auto"/>
        <w:outlineLvl w:val="9"/>
        <w:rPr>
          <w:rFonts w:hint="eastAsia" w:ascii="仿宋_GB2312" w:hAnsi="仿宋_GB2312" w:eastAsia="仿宋_GB2312" w:cs="仿宋"/>
          <w:sz w:val="32"/>
          <w:szCs w:val="32"/>
          <w:highlight w:val="none"/>
          <w:lang w:val="en-US" w:eastAsia="zh-CN"/>
        </w:rPr>
      </w:pPr>
      <w:r>
        <w:rPr>
          <w:rFonts w:hint="eastAsia" w:ascii="仿宋_GB2312" w:hAnsi="仿宋_GB2312" w:eastAsia="仿宋_GB2312" w:cs="仿宋"/>
          <w:sz w:val="32"/>
          <w:szCs w:val="32"/>
          <w:highlight w:val="none"/>
          <w:lang w:val="en-US" w:eastAsia="zh-CN"/>
        </w:rPr>
        <w:t>2.建设费用补偿：异地安置房屋由</w:t>
      </w:r>
      <w:r>
        <w:rPr>
          <w:rFonts w:hint="eastAsia" w:ascii="仿宋_GB2312" w:hAnsi="仿宋_GB2312" w:eastAsia="仿宋_GB2312" w:cs="仿宋_GB2312"/>
          <w:sz w:val="32"/>
          <w:szCs w:val="32"/>
          <w:highlight w:val="none"/>
        </w:rPr>
        <w:t>实施单位</w:t>
      </w:r>
      <w:r>
        <w:rPr>
          <w:rFonts w:hint="eastAsia" w:ascii="仿宋_GB2312" w:hAnsi="仿宋_GB2312" w:eastAsia="仿宋_GB2312" w:cs="仿宋"/>
          <w:sz w:val="32"/>
          <w:szCs w:val="32"/>
          <w:highlight w:val="none"/>
          <w:lang w:val="en-US" w:eastAsia="zh-CN"/>
        </w:rPr>
        <w:t>出资招标设计、监理公司，进行统一外形设计，异地安置房屋外形需按照设计图纸进行施工，具体房屋建设由被征收人自行实施。补偿标准按照被征收房屋结构、装修及房屋新旧程度分为900元/</w:t>
      </w:r>
      <w:r>
        <w:rPr>
          <w:rFonts w:hint="eastAsia" w:ascii="仿宋_GB2312" w:hAnsi="仿宋_GB2312" w:eastAsia="仿宋_GB2312" w:cs="仿宋_GB2312"/>
          <w:sz w:val="32"/>
          <w:szCs w:val="32"/>
          <w:highlight w:val="none"/>
          <w:lang w:val="en-US" w:eastAsia="zh-CN"/>
        </w:rPr>
        <w:t>㎡至2500元/㎡</w:t>
      </w:r>
      <w:r>
        <w:rPr>
          <w:rFonts w:hint="eastAsia" w:ascii="仿宋_GB2312" w:hAnsi="仿宋_GB2312" w:eastAsia="仿宋_GB2312" w:cs="仿宋"/>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firstLine="640" w:firstLineChars="200"/>
        <w:textAlignment w:val="auto"/>
        <w:outlineLvl w:val="9"/>
        <w:rPr>
          <w:rFonts w:hint="default" w:ascii="仿宋_GB2312" w:hAnsi="仿宋_GB2312" w:eastAsia="仿宋_GB2312" w:cs="仿宋"/>
          <w:sz w:val="32"/>
          <w:szCs w:val="32"/>
          <w:highlight w:val="none"/>
          <w:lang w:val="en-US" w:eastAsia="zh-CN"/>
        </w:rPr>
      </w:pPr>
      <w:r>
        <w:rPr>
          <w:rFonts w:hint="eastAsia" w:ascii="仿宋_GB2312" w:hAnsi="仿宋_GB2312" w:eastAsia="仿宋_GB2312" w:cs="仿宋"/>
          <w:sz w:val="32"/>
          <w:szCs w:val="32"/>
          <w:highlight w:val="none"/>
          <w:lang w:val="en-US" w:eastAsia="zh-CN"/>
        </w:rPr>
        <w:t>3.建设期限：从取得报建手续之日起，建设期限为12个月。</w:t>
      </w:r>
    </w:p>
    <w:p>
      <w:pPr>
        <w:keepNext w:val="0"/>
        <w:keepLines w:val="0"/>
        <w:pageBreakBefore w:val="0"/>
        <w:kinsoku/>
        <w:wordWrap/>
        <w:overflowPunct/>
        <w:topLinePunct w:val="0"/>
        <w:autoSpaceDE/>
        <w:autoSpaceDN/>
        <w:bidi w:val="0"/>
        <w:adjustRightInd/>
        <w:snapToGrid w:val="0"/>
        <w:spacing w:before="0" w:after="0" w:line="560" w:lineRule="exact"/>
        <w:ind w:right="0" w:rightChars="0" w:firstLine="640" w:firstLineChars="200"/>
        <w:textAlignment w:val="auto"/>
        <w:outlineLvl w:val="9"/>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lang w:val="en-US" w:eastAsia="zh-CN"/>
        </w:rPr>
        <w:t>（三）</w:t>
      </w:r>
      <w:r>
        <w:rPr>
          <w:rFonts w:hint="eastAsia" w:ascii="楷体_GB2312" w:hAnsi="楷体_GB2312" w:eastAsia="楷体_GB2312" w:cs="楷体_GB2312"/>
          <w:b w:val="0"/>
          <w:bCs w:val="0"/>
          <w:sz w:val="32"/>
          <w:szCs w:val="32"/>
          <w:highlight w:val="none"/>
        </w:rPr>
        <w:t>被征收房屋</w:t>
      </w:r>
      <w:r>
        <w:rPr>
          <w:rFonts w:hint="eastAsia" w:ascii="楷体_GB2312" w:hAnsi="楷体_GB2312" w:eastAsia="楷体_GB2312" w:cs="楷体_GB2312"/>
          <w:b w:val="0"/>
          <w:bCs w:val="0"/>
          <w:sz w:val="32"/>
          <w:szCs w:val="32"/>
          <w:highlight w:val="none"/>
          <w:lang w:eastAsia="zh-CN"/>
        </w:rPr>
        <w:t>土地建筑</w:t>
      </w:r>
      <w:r>
        <w:rPr>
          <w:rFonts w:hint="eastAsia" w:ascii="楷体_GB2312" w:hAnsi="楷体_GB2312" w:eastAsia="楷体_GB2312" w:cs="楷体_GB2312"/>
          <w:b w:val="0"/>
          <w:bCs w:val="0"/>
          <w:sz w:val="32"/>
          <w:szCs w:val="32"/>
          <w:highlight w:val="none"/>
        </w:rPr>
        <w:t>面积的确定</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
          <w:sz w:val="32"/>
          <w:szCs w:val="32"/>
          <w:highlight w:val="none"/>
          <w:lang w:eastAsia="zh-CN"/>
        </w:rPr>
      </w:pPr>
      <w:r>
        <w:rPr>
          <w:rFonts w:hint="eastAsia" w:ascii="仿宋_GB2312" w:hAnsi="仿宋_GB2312" w:eastAsia="仿宋_GB2312" w:cs="仿宋"/>
          <w:sz w:val="32"/>
          <w:szCs w:val="32"/>
          <w:highlight w:val="none"/>
          <w:lang w:eastAsia="zh-CN"/>
        </w:rPr>
        <w:t>被征收房屋的土地、建筑面积，以《土地使用证》、《房屋所有权证》证载面积或经自然资源部门界定是否合法并经有测量资质的测绘部门实际丈量的建筑面积为准。</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textAlignment w:val="auto"/>
        <w:outlineLvl w:val="9"/>
        <w:rPr>
          <w:rFonts w:hint="eastAsia" w:ascii="仿宋_GB2312" w:hAnsi="仿宋_GB2312" w:eastAsia="仿宋_GB2312" w:cs="宋体"/>
          <w:sz w:val="32"/>
          <w:szCs w:val="32"/>
          <w:highlight w:val="none"/>
          <w:lang w:eastAsia="zh-CN"/>
        </w:rPr>
      </w:pPr>
      <w:r>
        <w:rPr>
          <w:rFonts w:hint="eastAsia" w:ascii="仿宋_GB2312" w:hAnsi="仿宋_GB2312" w:eastAsia="仿宋_GB2312" w:cs="宋体"/>
          <w:sz w:val="32"/>
          <w:szCs w:val="32"/>
          <w:highlight w:val="none"/>
          <w:lang w:eastAsia="zh-CN"/>
        </w:rPr>
        <w:t xml:space="preserve">   </w:t>
      </w:r>
      <w:r>
        <w:rPr>
          <w:rFonts w:hint="eastAsia" w:ascii="楷体_GB2312" w:hAnsi="楷体_GB2312" w:eastAsia="楷体_GB2312" w:cs="楷体_GB2312"/>
          <w:sz w:val="32"/>
          <w:szCs w:val="32"/>
          <w:highlight w:val="none"/>
          <w:lang w:eastAsia="zh-CN"/>
        </w:rPr>
        <w:t xml:space="preserve"> （四）被征收房屋产权占比的认定</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textAlignment w:val="auto"/>
        <w:outlineLvl w:val="9"/>
        <w:rPr>
          <w:rFonts w:hint="eastAsia" w:ascii="仿宋_GB2312" w:hAnsi="仿宋_GB2312" w:eastAsia="仿宋_GB2312" w:cs="仿宋"/>
          <w:sz w:val="32"/>
          <w:szCs w:val="32"/>
          <w:highlight w:val="none"/>
          <w:lang w:val="en-US" w:eastAsia="zh-CN"/>
        </w:rPr>
      </w:pPr>
      <w:r>
        <w:rPr>
          <w:rFonts w:hint="eastAsia" w:ascii="仿宋_GB2312" w:hAnsi="仿宋_GB2312" w:eastAsia="仿宋_GB2312" w:cs="宋体"/>
          <w:sz w:val="32"/>
          <w:szCs w:val="32"/>
          <w:highlight w:val="none"/>
          <w:lang w:val="en-US" w:eastAsia="zh-CN"/>
        </w:rPr>
        <w:t xml:space="preserve">    </w:t>
      </w:r>
      <w:r>
        <w:rPr>
          <w:rFonts w:hint="eastAsia" w:ascii="仿宋_GB2312" w:hAnsi="仿宋_GB2312" w:eastAsia="仿宋_GB2312" w:cs="仿宋"/>
          <w:sz w:val="32"/>
          <w:szCs w:val="32"/>
          <w:highlight w:val="none"/>
          <w:lang w:val="en-US" w:eastAsia="zh-CN"/>
        </w:rPr>
        <w:t>以《房屋所有权证》上所规定的产权占比或以有关政策规定为准，并以此计算补偿金额或产权置换面积。</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四</w:t>
      </w:r>
      <w:r>
        <w:rPr>
          <w:rFonts w:hint="eastAsia" w:ascii="黑体" w:hAnsi="黑体" w:eastAsia="黑体" w:cs="黑体"/>
          <w:b w:val="0"/>
          <w:bCs w:val="0"/>
          <w:sz w:val="32"/>
          <w:szCs w:val="32"/>
          <w:highlight w:val="none"/>
        </w:rPr>
        <w:t>、</w:t>
      </w:r>
      <w:r>
        <w:rPr>
          <w:rFonts w:hint="eastAsia" w:ascii="黑体" w:hAnsi="黑体" w:eastAsia="黑体" w:cs="黑体"/>
          <w:sz w:val="32"/>
          <w:szCs w:val="32"/>
        </w:rPr>
        <w:t>房屋的搬迁、安置费补助、过渡方式、期限</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right="0" w:rightChars="0" w:firstLine="640" w:firstLineChars="200"/>
        <w:textAlignment w:val="auto"/>
        <w:outlineLvl w:val="9"/>
        <w:rPr>
          <w:rFonts w:hint="eastAsia" w:ascii="仿宋_GB2312" w:hAnsi="仿宋_GB2312" w:eastAsia="仿宋_GB2312" w:cs="宋体"/>
          <w:sz w:val="32"/>
          <w:szCs w:val="32"/>
          <w:highlight w:val="none"/>
          <w:lang w:val="en-US" w:eastAsia="zh-CN"/>
        </w:rPr>
      </w:pPr>
      <w:r>
        <w:rPr>
          <w:rFonts w:hint="eastAsia" w:ascii="仿宋_GB2312" w:hAnsi="仿宋_GB2312" w:eastAsia="仿宋_GB2312" w:cs="宋体"/>
          <w:sz w:val="32"/>
          <w:szCs w:val="32"/>
          <w:highlight w:val="none"/>
          <w:lang w:val="en-US" w:eastAsia="zh-CN"/>
        </w:rPr>
        <w:t>本项目补偿采用自行过渡方式，由被征收人自行解决周转房，搬迁补助费和临时安置费由实施单位支付。</w:t>
      </w:r>
    </w:p>
    <w:p>
      <w:pPr>
        <w:keepNext w:val="0"/>
        <w:keepLines w:val="0"/>
        <w:pageBreakBefore w:val="0"/>
        <w:kinsoku/>
        <w:wordWrap/>
        <w:overflowPunct/>
        <w:topLinePunct w:val="0"/>
        <w:autoSpaceDE/>
        <w:autoSpaceDN/>
        <w:bidi w:val="0"/>
        <w:adjustRightInd/>
        <w:spacing w:before="0" w:after="0" w:line="560" w:lineRule="exact"/>
        <w:ind w:right="0" w:rightChars="0" w:firstLine="640"/>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w:t>
      </w:r>
      <w:r>
        <w:rPr>
          <w:rFonts w:hint="eastAsia" w:ascii="楷体_GB2312" w:hAnsi="楷体_GB2312" w:eastAsia="楷体_GB2312" w:cs="楷体_GB2312"/>
          <w:sz w:val="32"/>
          <w:szCs w:val="32"/>
          <w:highlight w:val="none"/>
          <w:lang w:val="en-US" w:eastAsia="zh-CN"/>
        </w:rPr>
        <w:t>搬迁费用补助详见附件3：</w:t>
      </w:r>
      <w:r>
        <w:rPr>
          <w:rFonts w:hint="eastAsia" w:ascii="仿宋_GB2312" w:hAnsi="仿宋_GB2312" w:eastAsia="仿宋_GB2312" w:cs="仿宋_GB2312"/>
          <w:sz w:val="32"/>
          <w:szCs w:val="32"/>
          <w:highlight w:val="none"/>
          <w:lang w:val="en-US" w:eastAsia="zh-CN"/>
        </w:rPr>
        <w:t>连州市房屋征收搬迁等费用补偿标准。</w:t>
      </w:r>
    </w:p>
    <w:p>
      <w:pPr>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w:t>
      </w:r>
      <w:r>
        <w:rPr>
          <w:rFonts w:hint="eastAsia" w:ascii="楷体_GB2312" w:hAnsi="楷体_GB2312" w:eastAsia="楷体_GB2312" w:cs="楷体_GB2312"/>
          <w:sz w:val="32"/>
          <w:szCs w:val="32"/>
          <w:highlight w:val="none"/>
          <w:lang w:val="en-US" w:eastAsia="zh-CN"/>
        </w:rPr>
        <w:t>住宅过渡期安置的补偿标准：</w:t>
      </w:r>
      <w:r>
        <w:rPr>
          <w:rFonts w:hint="eastAsia" w:ascii="仿宋_GB2312" w:hAnsi="仿宋_GB2312" w:eastAsia="仿宋_GB2312" w:cs="仿宋_GB2312"/>
          <w:sz w:val="32"/>
          <w:szCs w:val="32"/>
          <w:highlight w:val="none"/>
          <w:lang w:val="en-US" w:eastAsia="zh-CN"/>
        </w:rPr>
        <w:t>以确认的被征收房屋套内面积计算：60㎡以下的600元/月；60㎡至70㎡的700元/月；70㎡至80㎡的800元/月；80㎡至90㎡的900元/月；90㎡以上的1000元/月；超出100㎡以上的按8元/㎡/月标准计算。总共补偿12个月，签订房屋征收补偿协议后支付。</w:t>
      </w:r>
    </w:p>
    <w:p>
      <w:pPr>
        <w:keepNext w:val="0"/>
        <w:keepLines w:val="0"/>
        <w:pageBreakBefore w:val="0"/>
        <w:numPr>
          <w:ilvl w:val="0"/>
          <w:numId w:val="1"/>
        </w:numPr>
        <w:kinsoku/>
        <w:wordWrap/>
        <w:overflowPunct/>
        <w:topLinePunct w:val="0"/>
        <w:autoSpaceDE/>
        <w:autoSpaceDN/>
        <w:bidi w:val="0"/>
        <w:adjustRightInd/>
        <w:spacing w:line="560" w:lineRule="exact"/>
        <w:ind w:firstLine="640" w:firstLineChars="200"/>
        <w:jc w:val="both"/>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过渡期限：</w:t>
      </w:r>
      <w:r>
        <w:rPr>
          <w:rFonts w:hint="eastAsia" w:ascii="仿宋_GB2312" w:hAnsi="仿宋_GB2312" w:eastAsia="仿宋_GB2312" w:cs="仿宋_GB2312"/>
          <w:sz w:val="32"/>
          <w:szCs w:val="32"/>
          <w:highlight w:val="none"/>
          <w:lang w:val="en-US" w:eastAsia="zh-CN"/>
        </w:rPr>
        <w:t>安置预期限不超过12个月（安置地具备报建条件）。</w:t>
      </w:r>
    </w:p>
    <w:p>
      <w:pPr>
        <w:keepNext w:val="0"/>
        <w:keepLines w:val="0"/>
        <w:pageBreakBefore w:val="0"/>
        <w:numPr>
          <w:ilvl w:val="0"/>
          <w:numId w:val="1"/>
        </w:numPr>
        <w:kinsoku/>
        <w:wordWrap/>
        <w:overflowPunct/>
        <w:topLinePunct w:val="0"/>
        <w:autoSpaceDE/>
        <w:autoSpaceDN/>
        <w:bidi w:val="0"/>
        <w:adjustRightInd/>
        <w:spacing w:line="560" w:lineRule="exact"/>
        <w:ind w:firstLine="640" w:firstLineChars="200"/>
        <w:jc w:val="both"/>
        <w:textAlignment w:val="auto"/>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安置地点详见附件2：</w:t>
      </w:r>
      <w:r>
        <w:rPr>
          <w:rFonts w:hint="eastAsia" w:ascii="仿宋_GB2312" w:hAnsi="仿宋_GB2312" w:eastAsia="仿宋_GB2312" w:cs="仿宋_GB2312"/>
          <w:sz w:val="32"/>
          <w:szCs w:val="32"/>
          <w:highlight w:val="none"/>
          <w:lang w:val="en-US" w:eastAsia="zh-CN"/>
        </w:rPr>
        <w:t>连州市东陂镇冯达飞片区改造提升工程项目安置区范围图。</w:t>
      </w:r>
    </w:p>
    <w:p>
      <w:pPr>
        <w:keepNext w:val="0"/>
        <w:keepLines w:val="0"/>
        <w:pageBreakBefore w:val="0"/>
        <w:numPr>
          <w:ilvl w:val="0"/>
          <w:numId w:val="1"/>
        </w:numPr>
        <w:kinsoku/>
        <w:wordWrap/>
        <w:overflowPunct/>
        <w:topLinePunct w:val="0"/>
        <w:autoSpaceDE/>
        <w:autoSpaceDN/>
        <w:bidi w:val="0"/>
        <w:adjustRightInd/>
        <w:spacing w:line="560" w:lineRule="exact"/>
        <w:ind w:firstLine="640" w:firstLineChars="200"/>
        <w:jc w:val="both"/>
        <w:textAlignment w:val="auto"/>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地上附着物和青苗等的补偿费用：</w:t>
      </w:r>
      <w:r>
        <w:rPr>
          <w:rFonts w:hint="eastAsia" w:ascii="仿宋_GB2312" w:hAnsi="仿宋_GB2312" w:eastAsia="仿宋_GB2312" w:cs="仿宋_GB2312"/>
          <w:color w:val="auto"/>
          <w:spacing w:val="-4"/>
          <w:sz w:val="32"/>
          <w:szCs w:val="32"/>
          <w:highlight w:val="none"/>
          <w:lang w:val="en-US" w:eastAsia="zh-CN"/>
        </w:rPr>
        <w:t>按照《关于印发连州市征收土地、青苗和地上附着物补偿标准的通知》（连府〔2013〕13号）、《关于印发&lt;连州市土地征收青苗和地上附着物补偿标准补充规定&gt;的通知》（连府办〔2018〕58号）进行补偿。</w:t>
      </w:r>
    </w:p>
    <w:p>
      <w:pPr>
        <w:keepNext w:val="0"/>
        <w:keepLines w:val="0"/>
        <w:pageBreakBefore w:val="0"/>
        <w:numPr>
          <w:ilvl w:val="0"/>
          <w:numId w:val="1"/>
        </w:numPr>
        <w:kinsoku/>
        <w:wordWrap/>
        <w:overflowPunct/>
        <w:topLinePunct w:val="0"/>
        <w:autoSpaceDE/>
        <w:autoSpaceDN/>
        <w:bidi w:val="0"/>
        <w:adjustRightInd/>
        <w:spacing w:line="560" w:lineRule="exact"/>
        <w:ind w:firstLine="640" w:firstLineChars="200"/>
        <w:jc w:val="both"/>
        <w:textAlignment w:val="auto"/>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安排被征地农民的社会保障费用：</w:t>
      </w:r>
      <w:r>
        <w:rPr>
          <w:rFonts w:hint="eastAsia" w:ascii="仿宋_GB2312" w:hAnsi="仿宋_GB2312" w:eastAsia="仿宋_GB2312" w:cs="仿宋_GB2312"/>
          <w:color w:val="auto"/>
          <w:spacing w:val="-4"/>
          <w:sz w:val="32"/>
          <w:szCs w:val="32"/>
          <w:highlight w:val="none"/>
          <w:lang w:val="en-US" w:eastAsia="zh-CN"/>
        </w:rPr>
        <w:t>按相关规定执行。</w:t>
      </w:r>
    </w:p>
    <w:p>
      <w:pPr>
        <w:keepNext w:val="0"/>
        <w:keepLines w:val="0"/>
        <w:pageBreakBefore w:val="0"/>
        <w:numPr>
          <w:ilvl w:val="0"/>
          <w:numId w:val="1"/>
        </w:numPr>
        <w:kinsoku/>
        <w:wordWrap/>
        <w:overflowPunct/>
        <w:topLinePunct w:val="0"/>
        <w:autoSpaceDE/>
        <w:autoSpaceDN/>
        <w:bidi w:val="0"/>
        <w:adjustRightInd/>
        <w:spacing w:line="560" w:lineRule="exact"/>
        <w:ind w:firstLine="640" w:firstLineChars="200"/>
        <w:jc w:val="both"/>
        <w:textAlignment w:val="auto"/>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停产停业损失费用：</w:t>
      </w:r>
      <w:r>
        <w:rPr>
          <w:rFonts w:hint="eastAsia" w:ascii="仿宋_GB2312" w:hAnsi="仿宋_GB2312" w:eastAsia="仿宋_GB2312" w:cs="仿宋_GB2312"/>
          <w:color w:val="auto"/>
          <w:spacing w:val="-4"/>
          <w:sz w:val="32"/>
          <w:szCs w:val="32"/>
          <w:highlight w:val="none"/>
          <w:lang w:val="en-US" w:eastAsia="zh-CN"/>
        </w:rPr>
        <w:t>按国家相关政策，并结合实际，以评估机构确定的征收补偿价值为补偿依据，由双方协商确定。</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五</w:t>
      </w:r>
      <w:r>
        <w:rPr>
          <w:rFonts w:hint="eastAsia" w:ascii="黑体" w:hAnsi="黑体" w:eastAsia="黑体" w:cs="黑体"/>
          <w:b w:val="0"/>
          <w:bCs w:val="0"/>
          <w:sz w:val="32"/>
          <w:szCs w:val="32"/>
          <w:highlight w:val="none"/>
        </w:rPr>
        <w:t>、提前搬迁奖励</w:t>
      </w:r>
    </w:p>
    <w:p>
      <w:pPr>
        <w:keepNext w:val="0"/>
        <w:keepLines w:val="0"/>
        <w:pageBreakBefore w:val="0"/>
        <w:kinsoku/>
        <w:wordWrap/>
        <w:overflowPunct/>
        <w:topLinePunct w:val="0"/>
        <w:autoSpaceDE/>
        <w:autoSpaceDN/>
        <w:bidi w:val="0"/>
        <w:adjustRightInd/>
        <w:spacing w:before="0" w:after="0" w:line="560" w:lineRule="exact"/>
        <w:ind w:right="0" w:rightChars="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征收决定公告</w:t>
      </w:r>
      <w:bookmarkStart w:id="0" w:name="_GoBack"/>
      <w:bookmarkEnd w:id="0"/>
      <w:r>
        <w:rPr>
          <w:rFonts w:hint="eastAsia" w:ascii="仿宋_GB2312" w:hAnsi="仿宋_GB2312" w:eastAsia="仿宋_GB2312" w:cs="仿宋_GB2312"/>
          <w:sz w:val="32"/>
          <w:szCs w:val="32"/>
          <w:highlight w:val="none"/>
          <w:lang w:val="en-US" w:eastAsia="zh-CN"/>
        </w:rPr>
        <w:t>之日起1个月内，</w:t>
      </w:r>
      <w:r>
        <w:rPr>
          <w:rFonts w:hint="eastAsia" w:ascii="仿宋_GB2312" w:hAnsi="仿宋_GB2312" w:eastAsia="仿宋_GB2312" w:cs="仿宋_GB2312"/>
          <w:sz w:val="32"/>
          <w:szCs w:val="32"/>
          <w:highlight w:val="none"/>
        </w:rPr>
        <w:t>签订《房屋征收补偿协议》，并在签订补偿安置协议之日起</w:t>
      </w:r>
      <w:r>
        <w:rPr>
          <w:rFonts w:hint="eastAsia" w:ascii="仿宋_GB2312" w:hAnsi="仿宋_GB2312" w:eastAsia="仿宋_GB2312" w:cs="仿宋_GB2312"/>
          <w:sz w:val="32"/>
          <w:szCs w:val="32"/>
          <w:highlight w:val="none"/>
          <w:lang w:val="en-US" w:eastAsia="zh-CN"/>
        </w:rPr>
        <w:t>10</w:t>
      </w:r>
      <w:r>
        <w:rPr>
          <w:rFonts w:hint="eastAsia" w:ascii="仿宋_GB2312" w:hAnsi="仿宋_GB2312" w:eastAsia="仿宋_GB2312" w:cs="仿宋_GB2312"/>
          <w:sz w:val="32"/>
          <w:szCs w:val="32"/>
          <w:highlight w:val="none"/>
        </w:rPr>
        <w:t>天内将被征收房屋腾空移交的，对被征收人给予房屋提前搬迁奖励金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砖混结构房屋一次性给予奖励5000元/户，其他结构房屋一次性给予奖励3000元/户，宅基地及其他地类奖励2000元/户。</w:t>
      </w:r>
    </w:p>
    <w:p>
      <w:pPr>
        <w:keepNext w:val="0"/>
        <w:keepLines w:val="0"/>
        <w:pageBreakBefore w:val="0"/>
        <w:numPr>
          <w:ilvl w:val="0"/>
          <w:numId w:val="0"/>
        </w:numPr>
        <w:kinsoku/>
        <w:wordWrap/>
        <w:overflowPunct/>
        <w:topLinePunct w:val="0"/>
        <w:autoSpaceDE/>
        <w:autoSpaceDN/>
        <w:bidi w:val="0"/>
        <w:adjustRightInd/>
        <w:snapToGrid w:val="0"/>
        <w:spacing w:before="0" w:after="0" w:line="560" w:lineRule="exact"/>
        <w:ind w:left="630" w:leftChars="0" w:right="0" w:rightChars="0"/>
        <w:textAlignment w:val="auto"/>
        <w:outlineLvl w:val="9"/>
        <w:rPr>
          <w:rFonts w:hint="default" w:ascii="仿宋_GB2312" w:hAnsi="仿宋_GB2312" w:eastAsia="仿宋_GB2312" w:cs="仿宋"/>
          <w:sz w:val="32"/>
          <w:szCs w:val="32"/>
          <w:highlight w:val="none"/>
          <w:lang w:val="en-US" w:eastAsia="zh-CN"/>
        </w:rPr>
      </w:pPr>
      <w:r>
        <w:rPr>
          <w:rFonts w:hint="eastAsia" w:ascii="仿宋_GB2312" w:hAnsi="仿宋_GB2312" w:eastAsia="仿宋_GB2312" w:cs="仿宋_GB2312"/>
          <w:sz w:val="32"/>
          <w:szCs w:val="32"/>
          <w:highlight w:val="none"/>
          <w:lang w:val="en-US" w:eastAsia="zh-CN"/>
        </w:rPr>
        <w:t>逾期不予奖励。</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val="en-US" w:eastAsia="zh-CN"/>
        </w:rPr>
        <w:t>六</w:t>
      </w:r>
      <w:r>
        <w:rPr>
          <w:rFonts w:hint="eastAsia" w:ascii="黑体" w:hAnsi="黑体" w:eastAsia="黑体" w:cs="黑体"/>
          <w:b w:val="0"/>
          <w:bCs w:val="0"/>
          <w:sz w:val="32"/>
          <w:szCs w:val="32"/>
          <w:highlight w:val="none"/>
        </w:rPr>
        <w:t>、征收补偿金领取及被征收房屋两证注销</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在</w:t>
      </w:r>
      <w:r>
        <w:rPr>
          <w:rFonts w:hint="eastAsia" w:ascii="仿宋_GB2312" w:hAnsi="仿宋_GB2312" w:eastAsia="仿宋_GB2312" w:cs="仿宋_GB2312"/>
          <w:sz w:val="32"/>
          <w:szCs w:val="32"/>
          <w:highlight w:val="none"/>
        </w:rPr>
        <w:t>签订房屋征收补偿协议之日起</w:t>
      </w:r>
      <w:r>
        <w:rPr>
          <w:rFonts w:hint="eastAsia" w:ascii="仿宋_GB2312" w:hAnsi="仿宋_GB2312" w:eastAsia="仿宋_GB2312" w:cs="仿宋_GB2312"/>
          <w:sz w:val="32"/>
          <w:szCs w:val="32"/>
          <w:highlight w:val="none"/>
          <w:lang w:val="en-US" w:eastAsia="zh-CN"/>
        </w:rPr>
        <w:t>10个工作</w:t>
      </w:r>
      <w:r>
        <w:rPr>
          <w:rFonts w:hint="eastAsia" w:ascii="仿宋_GB2312" w:hAnsi="仿宋_GB2312" w:eastAsia="仿宋_GB2312" w:cs="仿宋_GB2312"/>
          <w:sz w:val="32"/>
          <w:szCs w:val="32"/>
          <w:highlight w:val="none"/>
        </w:rPr>
        <w:t>日内（含第10</w:t>
      </w:r>
      <w:r>
        <w:rPr>
          <w:rFonts w:hint="eastAsia" w:ascii="仿宋_GB2312" w:hAnsi="仿宋_GB2312" w:eastAsia="仿宋_GB2312" w:cs="仿宋_GB2312"/>
          <w:sz w:val="32"/>
          <w:szCs w:val="32"/>
          <w:highlight w:val="none"/>
          <w:lang w:eastAsia="zh-CN"/>
        </w:rPr>
        <w:t>日</w:t>
      </w:r>
      <w:r>
        <w:rPr>
          <w:rFonts w:hint="eastAsia" w:ascii="仿宋_GB2312" w:hAnsi="仿宋_GB2312" w:eastAsia="仿宋_GB2312" w:cs="仿宋_GB2312"/>
          <w:sz w:val="32"/>
          <w:szCs w:val="32"/>
          <w:highlight w:val="none"/>
        </w:rPr>
        <w:t>），实施单位支付</w:t>
      </w:r>
      <w:r>
        <w:rPr>
          <w:rFonts w:hint="eastAsia" w:ascii="仿宋_GB2312" w:hAnsi="仿宋_GB2312" w:eastAsia="仿宋_GB2312" w:cs="仿宋_GB2312"/>
          <w:sz w:val="32"/>
          <w:szCs w:val="32"/>
          <w:highlight w:val="none"/>
          <w:lang w:eastAsia="zh-CN"/>
        </w:rPr>
        <w:t>被征收人</w:t>
      </w:r>
      <w:r>
        <w:rPr>
          <w:rFonts w:hint="eastAsia" w:ascii="仿宋_GB2312" w:hAnsi="仿宋_GB2312" w:eastAsia="仿宋_GB2312" w:cs="仿宋_GB2312"/>
          <w:sz w:val="32"/>
          <w:szCs w:val="32"/>
          <w:highlight w:val="none"/>
          <w:lang w:val="en-US" w:eastAsia="zh-CN"/>
        </w:rPr>
        <w:t>补偿款</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被征收人</w:t>
      </w:r>
      <w:r>
        <w:rPr>
          <w:rFonts w:hint="eastAsia" w:ascii="仿宋_GB2312" w:hAnsi="仿宋_GB2312" w:eastAsia="仿宋_GB2312" w:cs="仿宋_GB2312"/>
          <w:sz w:val="32"/>
          <w:szCs w:val="32"/>
          <w:highlight w:val="none"/>
        </w:rPr>
        <w:t>完成搬迁腾房后，须将原持有的《房屋所有权证》、《土地使用证》</w:t>
      </w:r>
      <w:r>
        <w:rPr>
          <w:rFonts w:hint="eastAsia" w:ascii="仿宋_GB2312" w:hAnsi="仿宋_GB2312" w:eastAsia="仿宋_GB2312" w:cs="仿宋_GB2312"/>
          <w:sz w:val="32"/>
          <w:szCs w:val="32"/>
          <w:highlight w:val="none"/>
          <w:lang w:eastAsia="zh-CN"/>
        </w:rPr>
        <w:t>等不动产权相关证件</w:t>
      </w:r>
      <w:r>
        <w:rPr>
          <w:rFonts w:hint="eastAsia" w:ascii="仿宋_GB2312" w:hAnsi="仿宋_GB2312" w:eastAsia="仿宋_GB2312" w:cs="仿宋_GB2312"/>
          <w:sz w:val="32"/>
          <w:szCs w:val="32"/>
          <w:highlight w:val="none"/>
        </w:rPr>
        <w:t>交给实施单位，统一办理注销手续，费用由实施单位负责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被征收人应配合</w:t>
      </w:r>
      <w:r>
        <w:rPr>
          <w:rFonts w:hint="eastAsia" w:ascii="仿宋_GB2312" w:hAnsi="仿宋_GB2312" w:eastAsia="仿宋_GB2312" w:cs="仿宋_GB2312"/>
          <w:sz w:val="32"/>
          <w:szCs w:val="32"/>
          <w:highlight w:val="none"/>
        </w:rPr>
        <w:t>。</w:t>
      </w:r>
    </w:p>
    <w:p>
      <w:pPr>
        <w:keepNext w:val="0"/>
        <w:keepLines w:val="0"/>
        <w:pageBreakBefore w:val="0"/>
        <w:numPr>
          <w:ilvl w:val="0"/>
          <w:numId w:val="2"/>
        </w:numPr>
        <w:kinsoku/>
        <w:wordWrap/>
        <w:overflowPunct/>
        <w:topLinePunct w:val="0"/>
        <w:autoSpaceDE/>
        <w:autoSpaceDN/>
        <w:bidi w:val="0"/>
        <w:adjustRightInd/>
        <w:spacing w:line="560" w:lineRule="exact"/>
        <w:ind w:left="640" w:leftChars="0" w:firstLine="0" w:firstLineChars="0"/>
        <w:textAlignment w:val="auto"/>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其它事项</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
          <w:bCs/>
          <w:sz w:val="32"/>
          <w:szCs w:val="32"/>
          <w:highlight w:val="none"/>
          <w:lang w:eastAsia="zh-CN"/>
        </w:rPr>
      </w:pPr>
      <w:r>
        <w:rPr>
          <w:rFonts w:hint="eastAsia" w:ascii="仿宋_GB2312" w:hAnsi="仿宋_GB2312" w:eastAsia="仿宋_GB2312" w:cs="仿宋_GB2312"/>
          <w:sz w:val="32"/>
          <w:szCs w:val="32"/>
          <w:highlight w:val="none"/>
          <w:lang w:eastAsia="zh-CN"/>
        </w:rPr>
        <w:t>（一）连州市人民政府</w:t>
      </w:r>
      <w:r>
        <w:rPr>
          <w:rFonts w:hint="eastAsia" w:ascii="仿宋_GB2312" w:hAnsi="仿宋_GB2312" w:eastAsia="仿宋_GB2312" w:cs="仿宋_GB2312"/>
          <w:sz w:val="32"/>
          <w:szCs w:val="32"/>
          <w:highlight w:val="none"/>
        </w:rPr>
        <w:t>作出征收公告后，任何单位和个人不得在征收范围的土地和房屋进行新建、改造、扩建、改变房屋用途、装饰、租赁房屋等，</w:t>
      </w:r>
      <w:r>
        <w:rPr>
          <w:rFonts w:hint="eastAsia" w:ascii="仿宋_GB2312" w:hAnsi="仿宋_GB2312" w:eastAsia="仿宋_GB2312" w:cs="仿宋_GB2312"/>
          <w:sz w:val="32"/>
          <w:szCs w:val="32"/>
          <w:highlight w:val="none"/>
          <w:lang w:eastAsia="zh-CN"/>
        </w:rPr>
        <w:t>由此</w:t>
      </w:r>
      <w:r>
        <w:rPr>
          <w:rFonts w:hint="eastAsia" w:ascii="仿宋_GB2312" w:hAnsi="仿宋_GB2312" w:eastAsia="仿宋_GB2312" w:cs="仿宋_GB2312"/>
          <w:sz w:val="32"/>
          <w:szCs w:val="32"/>
          <w:highlight w:val="none"/>
        </w:rPr>
        <w:t>增加改造补偿费用的，实施单位一律不作补偿</w:t>
      </w:r>
      <w:r>
        <w:rPr>
          <w:rFonts w:hint="eastAsia" w:ascii="仿宋_GB2312" w:hAnsi="仿宋_GB2312" w:eastAsia="仿宋_GB2312" w:cs="仿宋_GB2312"/>
          <w:sz w:val="32"/>
          <w:szCs w:val="32"/>
          <w:highlight w:val="none"/>
          <w:lang w:eastAsia="zh-CN"/>
        </w:rPr>
        <w:t>；</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在签订《房屋征收补偿协议》前，被征收房屋存在租赁关系的，由租赁双方自行解除租赁关系；设有抵押的，由产权人自行解除抵押；存在产权纠纷的，由当事人双方自行解决。实施单位不承担房屋租赁、抵押及产权纠纷所产生的任何经济</w:t>
      </w:r>
      <w:r>
        <w:rPr>
          <w:rFonts w:hint="eastAsia" w:ascii="仿宋_GB2312" w:hAnsi="仿宋_GB2312" w:eastAsia="仿宋_GB2312" w:cs="仿宋_GB2312"/>
          <w:sz w:val="32"/>
          <w:szCs w:val="32"/>
          <w:highlight w:val="none"/>
          <w:lang w:eastAsia="zh-CN"/>
        </w:rPr>
        <w:t>责任</w:t>
      </w:r>
      <w:r>
        <w:rPr>
          <w:rFonts w:hint="eastAsia" w:ascii="仿宋_GB2312" w:hAnsi="仿宋_GB2312" w:eastAsia="仿宋_GB2312" w:cs="仿宋_GB2312"/>
          <w:sz w:val="32"/>
          <w:szCs w:val="32"/>
          <w:highlight w:val="none"/>
        </w:rPr>
        <w:t>和法律责任</w:t>
      </w:r>
      <w:r>
        <w:rPr>
          <w:rFonts w:hint="eastAsia" w:ascii="仿宋_GB2312" w:hAnsi="仿宋_GB2312" w:eastAsia="仿宋_GB2312" w:cs="仿宋_GB2312"/>
          <w:sz w:val="32"/>
          <w:szCs w:val="32"/>
          <w:highlight w:val="none"/>
          <w:lang w:eastAsia="zh-CN"/>
        </w:rPr>
        <w:t>；</w:t>
      </w:r>
    </w:p>
    <w:p>
      <w:pPr>
        <w:keepNext w:val="0"/>
        <w:keepLines w:val="0"/>
        <w:pageBreakBefore w:val="0"/>
        <w:kinsoku/>
        <w:wordWrap/>
        <w:overflowPunct/>
        <w:topLinePunct w:val="0"/>
        <w:autoSpaceDE/>
        <w:autoSpaceDN/>
        <w:bidi w:val="0"/>
        <w:adjustRightInd/>
        <w:spacing w:before="0" w:after="0" w:line="560" w:lineRule="exact"/>
        <w:ind w:right="0" w:rightChars="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）被征收房屋及其附属设施由实施单位组织有资质的施工队伍统一拆除，以保证施工安全和征收场地的清理，确保工程按进度和计划进行（房屋拆除机构须按有关规定进行备案）</w:t>
      </w:r>
      <w:r>
        <w:rPr>
          <w:rFonts w:hint="eastAsia" w:ascii="仿宋_GB2312" w:hAnsi="仿宋_GB2312" w:eastAsia="仿宋_GB2312" w:cs="仿宋_GB2312"/>
          <w:sz w:val="32"/>
          <w:szCs w:val="32"/>
          <w:highlight w:val="none"/>
          <w:lang w:eastAsia="zh-CN"/>
        </w:rPr>
        <w:t>；</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房屋产权人不明确或有争议的房屋，由实施单位报请连州市人民政府按相关法规作出决定，非法违规的房屋建筑不计算征收补偿</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房屋征收部门与被征收人在征收补偿方案确定的签约期限内达不成补偿协议，或者被征收房屋所有权人不明确的，由房屋征收部门报请作出房屋征收决定的连州市人民政府依照</w:t>
      </w:r>
      <w:r>
        <w:rPr>
          <w:rFonts w:hint="eastAsia" w:ascii="仿宋_GB2312" w:hAnsi="仿宋_GB2312" w:eastAsia="仿宋_GB2312" w:cs="仿宋_GB2312"/>
          <w:spacing w:val="-4"/>
          <w:sz w:val="32"/>
          <w:szCs w:val="32"/>
        </w:rPr>
        <w:t>《国有土地上房屋征收与补偿条例》的规定，按</w:t>
      </w:r>
      <w:r>
        <w:rPr>
          <w:rFonts w:hint="eastAsia" w:ascii="仿宋_GB2312" w:hAnsi="仿宋_GB2312" w:eastAsia="仿宋_GB2312" w:cs="仿宋_GB2312"/>
          <w:spacing w:val="-11"/>
          <w:sz w:val="32"/>
          <w:szCs w:val="32"/>
        </w:rPr>
        <w:t>照</w:t>
      </w:r>
      <w:r>
        <w:rPr>
          <w:rFonts w:hint="eastAsia" w:ascii="仿宋_GB2312" w:hAnsi="仿宋_GB2312" w:eastAsia="仿宋_GB2312" w:cs="仿宋_GB2312"/>
          <w:spacing w:val="-6"/>
          <w:sz w:val="32"/>
          <w:szCs w:val="32"/>
        </w:rPr>
        <w:t>征收补偿方案作出补偿决定，并在房屋征收范围内予以公告</w:t>
      </w:r>
      <w:r>
        <w:rPr>
          <w:rFonts w:hint="eastAsia" w:ascii="仿宋_GB2312" w:hAnsi="仿宋_GB2312" w:eastAsia="仿宋_GB2312" w:cs="仿宋_GB2312"/>
          <w:spacing w:val="-6"/>
          <w:sz w:val="32"/>
          <w:szCs w:val="32"/>
          <w:lang w:eastAsia="zh-CN"/>
        </w:rPr>
        <w:t>。</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lang w:eastAsia="zh-CN"/>
        </w:rPr>
        <w:t>因征收补偿协商不一致，</w:t>
      </w:r>
      <w:r>
        <w:rPr>
          <w:rFonts w:hint="eastAsia" w:ascii="仿宋_GB2312" w:hAnsi="仿宋_GB2312" w:eastAsia="仿宋_GB2312" w:cs="仿宋_GB2312"/>
          <w:sz w:val="32"/>
          <w:szCs w:val="32"/>
        </w:rPr>
        <w:t>被征收人在法定期限内（</w:t>
      </w:r>
      <w:r>
        <w:rPr>
          <w:rFonts w:hint="eastAsia" w:ascii="仿宋_GB2312" w:hAnsi="仿宋_GB2312" w:eastAsia="仿宋_GB2312" w:cs="仿宋_GB2312"/>
          <w:sz w:val="32"/>
          <w:szCs w:val="32"/>
          <w:lang w:eastAsia="zh-CN"/>
        </w:rPr>
        <w:t>对征收决定不服或征收补偿决定不服的，</w:t>
      </w:r>
      <w:r>
        <w:rPr>
          <w:rFonts w:hint="eastAsia" w:ascii="仿宋_GB2312" w:hAnsi="仿宋_GB2312" w:eastAsia="仿宋_GB2312" w:cs="仿宋_GB2312"/>
          <w:sz w:val="32"/>
          <w:szCs w:val="32"/>
        </w:rPr>
        <w:t>申请行政复议期限60日内，提起行政诉讼期限为6个月内）不申请行政复议或者不提起行政诉讼，在补偿决定规定的期限内又不搬迁的，由作出房屋征收决定的连州市人民政府依法申请人民法院强制执行</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评估机构由被征收人在清远市房屋征收部门备案的评估机构中协商选定，协商不成的，通过摇号随机选定，选定过程由公证机关公证。</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rPr>
        <w:t>本方案未尽事宜，按现行有关法律、法规、条例的相关规定执行。</w:t>
      </w:r>
    </w:p>
    <w:p>
      <w:pPr>
        <w:pStyle w:val="8"/>
        <w:ind w:left="0"/>
        <w:jc w:val="left"/>
        <w:rPr>
          <w:rFonts w:hint="eastAsia" w:ascii="仿宋" w:hAnsi="仿宋" w:eastAsia="仿宋" w:cs="仿宋"/>
          <w:sz w:val="32"/>
          <w:szCs w:val="32"/>
          <w:highlight w:val="none"/>
          <w:lang w:eastAsia="zh-CN"/>
        </w:rPr>
        <w:sectPr>
          <w:footerReference r:id="rId3" w:type="default"/>
          <w:pgSz w:w="11906" w:h="16838"/>
          <w:pgMar w:top="2211" w:right="1474" w:bottom="1871" w:left="1587" w:header="851" w:footer="992" w:gutter="0"/>
          <w:cols w:space="720" w:num="1"/>
          <w:rtlGutter w:val="0"/>
          <w:docGrid w:type="lines" w:linePitch="312" w:charSpace="0"/>
        </w:sectPr>
      </w:pPr>
      <w:r>
        <w:rPr>
          <w:rFonts w:hint="eastAsia" w:ascii="仿宋" w:hAnsi="仿宋" w:eastAsia="仿宋" w:cs="仿宋"/>
          <w:sz w:val="32"/>
          <w:szCs w:val="32"/>
          <w:highlight w:val="none"/>
          <w:lang w:eastAsia="zh-CN"/>
        </w:rPr>
        <w:br w:type="page"/>
      </w:r>
    </w:p>
    <w:p>
      <w:pPr>
        <w:pStyle w:val="8"/>
        <w:ind w:left="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附件</w:t>
      </w:r>
      <w:r>
        <w:rPr>
          <w:rFonts w:hint="eastAsia" w:ascii="仿宋" w:hAnsi="仿宋" w:eastAsia="仿宋" w:cs="仿宋"/>
          <w:sz w:val="32"/>
          <w:szCs w:val="32"/>
          <w:highlight w:val="none"/>
          <w:lang w:val="en-US" w:eastAsia="zh-CN"/>
        </w:rPr>
        <w:t>1：</w:t>
      </w:r>
    </w:p>
    <w:p>
      <w:pPr>
        <w:pStyle w:val="8"/>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方正小标宋简体" w:hAnsi="方正小标宋简体" w:eastAsia="方正小标宋简体" w:cs="方正小标宋简体"/>
          <w:kern w:val="0"/>
          <w:sz w:val="44"/>
          <w:szCs w:val="44"/>
          <w:highlight w:val="none"/>
          <w:shd w:val="clear" w:color="auto" w:fill="FFFFFF"/>
          <w:lang w:val="en-US" w:eastAsia="zh-CN"/>
        </w:rPr>
      </w:pPr>
      <w:r>
        <w:rPr>
          <w:rFonts w:hint="eastAsia" w:ascii="方正小标宋简体" w:hAnsi="方正小标宋简体" w:eastAsia="方正小标宋简体" w:cs="方正小标宋简体"/>
          <w:kern w:val="0"/>
          <w:sz w:val="44"/>
          <w:szCs w:val="44"/>
          <w:highlight w:val="none"/>
          <w:shd w:val="clear" w:color="auto" w:fill="FFFFFF"/>
          <w:lang w:val="en-US" w:eastAsia="zh-CN"/>
        </w:rPr>
        <w:t>连州市东陂镇冯达飞片区改造提升工程项目</w:t>
      </w:r>
    </w:p>
    <w:p>
      <w:pPr>
        <w:pStyle w:val="8"/>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kern w:val="0"/>
          <w:sz w:val="44"/>
          <w:szCs w:val="44"/>
          <w:highlight w:val="none"/>
          <w:shd w:val="clear" w:color="auto" w:fill="FFFFFF"/>
        </w:rPr>
        <w:t>房屋</w:t>
      </w:r>
      <w:r>
        <w:rPr>
          <w:rFonts w:hint="eastAsia" w:ascii="方正小标宋简体" w:hAnsi="方正小标宋简体" w:eastAsia="方正小标宋简体" w:cs="方正小标宋简体"/>
          <w:color w:val="auto"/>
          <w:sz w:val="44"/>
          <w:szCs w:val="44"/>
          <w:highlight w:val="none"/>
          <w:lang w:eastAsia="zh-CN"/>
        </w:rPr>
        <w:t>征收</w:t>
      </w:r>
      <w:r>
        <w:rPr>
          <w:rFonts w:hint="eastAsia" w:ascii="方正小标宋简体" w:hAnsi="方正小标宋简体" w:eastAsia="方正小标宋简体" w:cs="方正小标宋简体"/>
          <w:color w:val="auto"/>
          <w:sz w:val="44"/>
          <w:szCs w:val="44"/>
          <w:highlight w:val="none"/>
          <w:lang w:val="en-US" w:eastAsia="zh-CN"/>
        </w:rPr>
        <w:t>范围</w:t>
      </w:r>
      <w:r>
        <w:rPr>
          <w:rFonts w:hint="eastAsia" w:ascii="方正小标宋简体" w:hAnsi="方正小标宋简体" w:eastAsia="方正小标宋简体" w:cs="方正小标宋简体"/>
          <w:color w:val="auto"/>
          <w:sz w:val="44"/>
          <w:szCs w:val="44"/>
          <w:highlight w:val="none"/>
        </w:rPr>
        <w:t>图</w:t>
      </w:r>
    </w:p>
    <w:p>
      <w:pPr>
        <w:pStyle w:val="8"/>
        <w:ind w:left="0"/>
        <w:jc w:val="center"/>
        <w:rPr>
          <w:rFonts w:hint="eastAsia" w:ascii="宋体" w:hAnsi="宋体" w:eastAsia="宋体" w:cs="微软雅黑"/>
          <w:b/>
          <w:bCs/>
          <w:kern w:val="0"/>
          <w:sz w:val="32"/>
          <w:szCs w:val="32"/>
          <w:highlight w:val="none"/>
          <w:lang w:val="en-US" w:eastAsia="zh-CN" w:bidi="ar-SA"/>
        </w:rPr>
        <w:sectPr>
          <w:pgSz w:w="11906" w:h="16838"/>
          <w:pgMar w:top="2211" w:right="1474" w:bottom="1871" w:left="1587" w:header="851" w:footer="992" w:gutter="0"/>
          <w:cols w:space="720" w:num="1"/>
          <w:rtlGutter w:val="0"/>
          <w:docGrid w:type="lines" w:linePitch="312" w:charSpace="0"/>
        </w:sectPr>
      </w:pPr>
      <w:r>
        <w:drawing>
          <wp:inline distT="0" distB="0" distL="114300" distR="114300">
            <wp:extent cx="5506085" cy="6633845"/>
            <wp:effectExtent l="0" t="0" r="1079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506085" cy="6633845"/>
                    </a:xfrm>
                    <a:prstGeom prst="rect">
                      <a:avLst/>
                    </a:prstGeom>
                    <a:noFill/>
                    <a:ln>
                      <a:noFill/>
                    </a:ln>
                  </pic:spPr>
                </pic:pic>
              </a:graphicData>
            </a:graphic>
          </wp:inline>
        </w:drawing>
      </w:r>
      <w:r>
        <w:rPr>
          <w:rFonts w:hint="eastAsia" w:ascii="宋体" w:hAnsi="宋体" w:eastAsia="宋体" w:cs="微软雅黑"/>
          <w:b/>
          <w:bCs/>
          <w:kern w:val="0"/>
          <w:sz w:val="32"/>
          <w:szCs w:val="32"/>
          <w:highlight w:val="none"/>
          <w:lang w:val="en-US" w:eastAsia="zh-CN" w:bidi="ar-SA"/>
        </w:rPr>
        <w:br w:type="page"/>
      </w:r>
    </w:p>
    <w:p>
      <w:pPr>
        <w:pStyle w:val="8"/>
        <w:ind w:left="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附件2：</w:t>
      </w:r>
    </w:p>
    <w:p>
      <w:pPr>
        <w:pStyle w:val="8"/>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连州市东陂镇冯达飞片区改造提升工程项目</w:t>
      </w:r>
    </w:p>
    <w:p>
      <w:pPr>
        <w:pStyle w:val="8"/>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安置区范围图</w:t>
      </w:r>
    </w:p>
    <w:p>
      <w:pPr>
        <w:pStyle w:val="8"/>
        <w:ind w:left="0"/>
        <w:jc w:val="left"/>
        <w:rPr>
          <w:rFonts w:hint="eastAsia" w:ascii="宋体" w:hAnsi="宋体" w:eastAsia="宋体" w:cs="微软雅黑"/>
          <w:b/>
          <w:bCs/>
          <w:kern w:val="0"/>
          <w:sz w:val="32"/>
          <w:szCs w:val="32"/>
          <w:highlight w:val="none"/>
          <w:lang w:val="en-US" w:eastAsia="zh-CN" w:bidi="ar-SA"/>
        </w:rPr>
        <w:sectPr>
          <w:pgSz w:w="16838" w:h="11906" w:orient="landscape"/>
          <w:pgMar w:top="1587" w:right="2211" w:bottom="1474" w:left="1871" w:header="851" w:footer="992" w:gutter="0"/>
          <w:cols w:space="720" w:num="1"/>
          <w:rtlGutter w:val="0"/>
          <w:docGrid w:type="lines" w:linePitch="312" w:charSpace="0"/>
        </w:sectPr>
      </w:pPr>
      <w:r>
        <w:drawing>
          <wp:anchor distT="0" distB="0" distL="114300" distR="114300" simplePos="0" relativeHeight="251659264" behindDoc="0" locked="0" layoutInCell="1" allowOverlap="1">
            <wp:simplePos x="0" y="0"/>
            <wp:positionH relativeFrom="column">
              <wp:posOffset>97790</wp:posOffset>
            </wp:positionH>
            <wp:positionV relativeFrom="paragraph">
              <wp:posOffset>12065</wp:posOffset>
            </wp:positionV>
            <wp:extent cx="7848600" cy="4899660"/>
            <wp:effectExtent l="0" t="0" r="0" b="762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7848600" cy="4899660"/>
                    </a:xfrm>
                    <a:prstGeom prst="rect">
                      <a:avLst/>
                    </a:prstGeom>
                    <a:noFill/>
                    <a:ln>
                      <a:noFill/>
                    </a:ln>
                  </pic:spPr>
                </pic:pic>
              </a:graphicData>
            </a:graphic>
          </wp:anchor>
        </w:drawing>
      </w:r>
      <w:r>
        <w:rPr>
          <w:rFonts w:hint="eastAsia" w:ascii="宋体" w:hAnsi="宋体" w:eastAsia="宋体" w:cs="微软雅黑"/>
          <w:b/>
          <w:bCs/>
          <w:kern w:val="0"/>
          <w:sz w:val="32"/>
          <w:szCs w:val="32"/>
          <w:highlight w:val="none"/>
          <w:lang w:val="en-US" w:eastAsia="zh-CN" w:bidi="ar-SA"/>
        </w:rPr>
        <w:br w:type="page"/>
      </w:r>
    </w:p>
    <w:p>
      <w:pPr>
        <w:pStyle w:val="8"/>
        <w:ind w:left="0"/>
        <w:jc w:val="left"/>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附件</w:t>
      </w:r>
      <w:r>
        <w:rPr>
          <w:rFonts w:hint="eastAsia" w:ascii="仿宋" w:hAnsi="仿宋" w:eastAsia="仿宋" w:cs="仿宋_GB2312"/>
          <w:sz w:val="32"/>
          <w:szCs w:val="32"/>
          <w:highlight w:val="none"/>
          <w:lang w:val="en-US" w:eastAsia="zh-CN"/>
        </w:rPr>
        <w:t>3</w:t>
      </w:r>
      <w:r>
        <w:rPr>
          <w:rFonts w:hint="eastAsia" w:ascii="仿宋" w:hAnsi="仿宋" w:eastAsia="仿宋" w:cs="仿宋_GB2312"/>
          <w:sz w:val="32"/>
          <w:szCs w:val="32"/>
          <w:highlight w:val="none"/>
        </w:rPr>
        <w:t>：</w:t>
      </w:r>
    </w:p>
    <w:p>
      <w:pPr>
        <w:pStyle w:val="9"/>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b/>
          <w:bCs/>
          <w:sz w:val="44"/>
          <w:szCs w:val="44"/>
          <w:highlight w:val="none"/>
          <w:lang w:val="en-US" w:eastAsia="zh-CN"/>
        </w:rPr>
        <w:t xml:space="preserve">  </w:t>
      </w:r>
      <w:r>
        <w:rPr>
          <w:rFonts w:hint="eastAsia" w:ascii="方正小标宋简体" w:hAnsi="方正小标宋简体" w:eastAsia="方正小标宋简体" w:cs="方正小标宋简体"/>
          <w:b/>
          <w:bCs/>
          <w:sz w:val="44"/>
          <w:szCs w:val="44"/>
          <w:highlight w:val="none"/>
        </w:rPr>
        <w:t>连州市房屋征收搬迁等费用补偿标准</w:t>
      </w:r>
    </w:p>
    <w:tbl>
      <w:tblPr>
        <w:tblStyle w:val="5"/>
        <w:tblpPr w:leftFromText="180" w:rightFromText="180" w:vertAnchor="text" w:horzAnchor="margin" w:tblpY="1193"/>
        <w:tblOverlap w:val="never"/>
        <w:tblW w:w="9059" w:type="dxa"/>
        <w:tblInd w:w="-15"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140"/>
        <w:gridCol w:w="2216"/>
        <w:gridCol w:w="2313"/>
        <w:gridCol w:w="239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612" w:hRule="atLeast"/>
        </w:trPr>
        <w:tc>
          <w:tcPr>
            <w:tcW w:w="2140" w:type="dxa"/>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名称</w:t>
            </w: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户（台）</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金额（元）</w:t>
            </w:r>
          </w:p>
        </w:tc>
        <w:tc>
          <w:tcPr>
            <w:tcW w:w="2390" w:type="dxa"/>
            <w:tcBorders>
              <w:top w:val="single" w:color="000000" w:sz="12" w:space="0"/>
              <w:left w:val="single" w:color="000000" w:sz="12" w:space="0"/>
              <w:bottom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备注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89" w:hRule="atLeast"/>
        </w:trPr>
        <w:tc>
          <w:tcPr>
            <w:tcW w:w="2140" w:type="dxa"/>
            <w:vMerge w:val="restart"/>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搬迁费</w:t>
            </w: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每户</w:t>
            </w:r>
            <w:r>
              <w:rPr>
                <w:rFonts w:ascii="仿宋" w:hAnsi="仿宋" w:eastAsia="仿宋" w:cs="仿宋_GB2312"/>
                <w:color w:val="000000"/>
                <w:kern w:val="0"/>
                <w:sz w:val="32"/>
                <w:szCs w:val="32"/>
                <w:highlight w:val="none"/>
              </w:rPr>
              <w:t>(</w:t>
            </w:r>
            <w:r>
              <w:rPr>
                <w:rFonts w:hint="eastAsia" w:ascii="仿宋" w:hAnsi="仿宋" w:eastAsia="仿宋" w:cs="仿宋_GB2312"/>
                <w:color w:val="000000"/>
                <w:kern w:val="0"/>
                <w:sz w:val="32"/>
                <w:szCs w:val="32"/>
                <w:highlight w:val="none"/>
              </w:rPr>
              <w:t>住宅</w:t>
            </w:r>
            <w:r>
              <w:rPr>
                <w:rFonts w:ascii="仿宋" w:hAnsi="仿宋" w:eastAsia="仿宋" w:cs="仿宋_GB2312"/>
                <w:color w:val="000000"/>
                <w:kern w:val="0"/>
                <w:sz w:val="32"/>
                <w:szCs w:val="32"/>
                <w:highlight w:val="none"/>
              </w:rPr>
              <w:t>)100</w:t>
            </w:r>
            <w:r>
              <w:rPr>
                <w:rFonts w:hint="eastAsia" w:ascii="仿宋" w:hAnsi="仿宋" w:eastAsia="仿宋" w:cs="仿宋_GB2312"/>
                <w:color w:val="000000"/>
                <w:kern w:val="0"/>
                <w:sz w:val="32"/>
                <w:szCs w:val="32"/>
                <w:highlight w:val="none"/>
              </w:rPr>
              <w:t>平方以下</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1000</w:t>
            </w:r>
          </w:p>
        </w:tc>
        <w:tc>
          <w:tcPr>
            <w:tcW w:w="2390" w:type="dxa"/>
            <w:vMerge w:val="restart"/>
            <w:tcBorders>
              <w:top w:val="single" w:color="000000" w:sz="12" w:space="0"/>
              <w:left w:val="single" w:color="000000" w:sz="12" w:space="0"/>
              <w:bottom w:val="single" w:color="000000" w:sz="12" w:space="0"/>
            </w:tcBorders>
            <w:noWrap w:val="0"/>
            <w:vAlign w:val="center"/>
          </w:tcPr>
          <w:p>
            <w:pPr>
              <w:widowControl/>
              <w:spacing w:line="430" w:lineRule="atLeast"/>
              <w:jc w:val="left"/>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说明：</w:t>
            </w:r>
          </w:p>
          <w:p>
            <w:pPr>
              <w:widowControl/>
              <w:spacing w:line="430" w:lineRule="atLeast"/>
              <w:ind w:firstLine="640" w:firstLineChars="200"/>
              <w:jc w:val="left"/>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选择货币补偿方式</w:t>
            </w:r>
            <w:r>
              <w:rPr>
                <w:rFonts w:hint="eastAsia" w:ascii="仿宋" w:hAnsi="仿宋" w:eastAsia="仿宋" w:cs="仿宋_GB2312"/>
                <w:color w:val="000000"/>
                <w:kern w:val="0"/>
                <w:sz w:val="32"/>
                <w:szCs w:val="32"/>
                <w:highlight w:val="none"/>
                <w:lang w:eastAsia="zh-CN"/>
              </w:rPr>
              <w:t>和</w:t>
            </w:r>
            <w:r>
              <w:rPr>
                <w:rFonts w:hint="eastAsia" w:ascii="仿宋" w:hAnsi="仿宋" w:eastAsia="仿宋" w:cs="仿宋"/>
                <w:b w:val="0"/>
                <w:bCs w:val="0"/>
                <w:sz w:val="32"/>
                <w:szCs w:val="32"/>
                <w:highlight w:val="none"/>
                <w:lang w:val="en-US" w:eastAsia="zh-CN"/>
              </w:rPr>
              <w:t>异地安置</w:t>
            </w:r>
            <w:r>
              <w:rPr>
                <w:rFonts w:hint="eastAsia" w:ascii="仿宋" w:hAnsi="仿宋" w:eastAsia="仿宋" w:cs="仿宋_GB2312"/>
                <w:color w:val="000000"/>
                <w:kern w:val="0"/>
                <w:sz w:val="32"/>
                <w:szCs w:val="32"/>
                <w:highlight w:val="none"/>
              </w:rPr>
              <w:t>方式的，本表各项费用只在签订征收补偿协议作一次性补偿。</w:t>
            </w:r>
          </w:p>
          <w:p>
            <w:pPr>
              <w:widowControl/>
              <w:spacing w:line="430" w:lineRule="atLeast"/>
              <w:jc w:val="left"/>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 xml:space="preserve">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89" w:hRule="atLeast"/>
        </w:trPr>
        <w:tc>
          <w:tcPr>
            <w:tcW w:w="2140" w:type="dxa"/>
            <w:vMerge w:val="continue"/>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每户</w:t>
            </w:r>
            <w:r>
              <w:rPr>
                <w:rFonts w:ascii="仿宋" w:hAnsi="仿宋" w:eastAsia="仿宋" w:cs="仿宋_GB2312"/>
                <w:color w:val="000000"/>
                <w:kern w:val="0"/>
                <w:sz w:val="32"/>
                <w:szCs w:val="32"/>
                <w:highlight w:val="none"/>
              </w:rPr>
              <w:t>(</w:t>
            </w:r>
            <w:r>
              <w:rPr>
                <w:rFonts w:hint="eastAsia" w:ascii="仿宋" w:hAnsi="仿宋" w:eastAsia="仿宋" w:cs="仿宋_GB2312"/>
                <w:color w:val="000000"/>
                <w:kern w:val="0"/>
                <w:sz w:val="32"/>
                <w:szCs w:val="32"/>
                <w:highlight w:val="none"/>
              </w:rPr>
              <w:t>住宅</w:t>
            </w:r>
            <w:r>
              <w:rPr>
                <w:rFonts w:ascii="仿宋" w:hAnsi="仿宋" w:eastAsia="仿宋" w:cs="仿宋_GB2312"/>
                <w:color w:val="000000"/>
                <w:kern w:val="0"/>
                <w:sz w:val="32"/>
                <w:szCs w:val="32"/>
                <w:highlight w:val="none"/>
              </w:rPr>
              <w:t>)100</w:t>
            </w:r>
            <w:r>
              <w:rPr>
                <w:rFonts w:hint="eastAsia" w:ascii="仿宋" w:hAnsi="仿宋" w:eastAsia="仿宋" w:cs="仿宋_GB2312"/>
                <w:color w:val="000000"/>
                <w:kern w:val="0"/>
                <w:sz w:val="32"/>
                <w:szCs w:val="32"/>
                <w:highlight w:val="none"/>
              </w:rPr>
              <w:t>至</w:t>
            </w:r>
            <w:r>
              <w:rPr>
                <w:rFonts w:ascii="仿宋" w:hAnsi="仿宋" w:eastAsia="仿宋" w:cs="仿宋_GB2312"/>
                <w:color w:val="000000"/>
                <w:kern w:val="0"/>
                <w:sz w:val="32"/>
                <w:szCs w:val="32"/>
                <w:highlight w:val="none"/>
              </w:rPr>
              <w:t>200</w:t>
            </w:r>
            <w:r>
              <w:rPr>
                <w:rFonts w:hint="eastAsia" w:ascii="仿宋" w:hAnsi="仿宋" w:eastAsia="仿宋" w:cs="仿宋_GB2312"/>
                <w:color w:val="000000"/>
                <w:kern w:val="0"/>
                <w:sz w:val="32"/>
                <w:szCs w:val="32"/>
                <w:highlight w:val="none"/>
              </w:rPr>
              <w:t>平方</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1200</w:t>
            </w:r>
          </w:p>
        </w:tc>
        <w:tc>
          <w:tcPr>
            <w:tcW w:w="2390" w:type="dxa"/>
            <w:vMerge w:val="continue"/>
            <w:tcBorders>
              <w:top w:val="single" w:color="000000" w:sz="12" w:space="0"/>
              <w:left w:val="single" w:color="000000" w:sz="12" w:space="0"/>
              <w:bottom w:val="single" w:color="000000" w:sz="12" w:space="0"/>
            </w:tcBorders>
            <w:noWrap w:val="0"/>
            <w:vAlign w:val="center"/>
          </w:tcPr>
          <w:p>
            <w:pPr>
              <w:widowControl/>
              <w:spacing w:line="430" w:lineRule="atLeast"/>
              <w:jc w:val="left"/>
              <w:rPr>
                <w:rFonts w:ascii="仿宋" w:hAnsi="仿宋" w:eastAsia="仿宋" w:cs="仿宋_GB2312"/>
                <w:color w:val="000000"/>
                <w:kern w:val="0"/>
                <w:sz w:val="3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89" w:hRule="atLeast"/>
        </w:trPr>
        <w:tc>
          <w:tcPr>
            <w:tcW w:w="2140" w:type="dxa"/>
            <w:vMerge w:val="continue"/>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每户</w:t>
            </w:r>
            <w:r>
              <w:rPr>
                <w:rFonts w:ascii="仿宋" w:hAnsi="仿宋" w:eastAsia="仿宋" w:cs="仿宋_GB2312"/>
                <w:color w:val="000000"/>
                <w:kern w:val="0"/>
                <w:sz w:val="32"/>
                <w:szCs w:val="32"/>
                <w:highlight w:val="none"/>
              </w:rPr>
              <w:t>(</w:t>
            </w:r>
            <w:r>
              <w:rPr>
                <w:rFonts w:hint="eastAsia" w:ascii="仿宋" w:hAnsi="仿宋" w:eastAsia="仿宋" w:cs="仿宋_GB2312"/>
                <w:color w:val="000000"/>
                <w:kern w:val="0"/>
                <w:sz w:val="32"/>
                <w:szCs w:val="32"/>
                <w:highlight w:val="none"/>
              </w:rPr>
              <w:t>住宅</w:t>
            </w:r>
            <w:r>
              <w:rPr>
                <w:rFonts w:ascii="仿宋" w:hAnsi="仿宋" w:eastAsia="仿宋" w:cs="仿宋_GB2312"/>
                <w:color w:val="000000"/>
                <w:kern w:val="0"/>
                <w:sz w:val="32"/>
                <w:szCs w:val="32"/>
                <w:highlight w:val="none"/>
              </w:rPr>
              <w:t>)200</w:t>
            </w:r>
            <w:r>
              <w:rPr>
                <w:rFonts w:hint="eastAsia" w:ascii="仿宋" w:hAnsi="仿宋" w:eastAsia="仿宋" w:cs="仿宋_GB2312"/>
                <w:color w:val="000000"/>
                <w:kern w:val="0"/>
                <w:sz w:val="32"/>
                <w:szCs w:val="32"/>
                <w:highlight w:val="none"/>
              </w:rPr>
              <w:t>至</w:t>
            </w:r>
            <w:r>
              <w:rPr>
                <w:rFonts w:ascii="仿宋" w:hAnsi="仿宋" w:eastAsia="仿宋" w:cs="仿宋_GB2312"/>
                <w:color w:val="000000"/>
                <w:kern w:val="0"/>
                <w:sz w:val="32"/>
                <w:szCs w:val="32"/>
                <w:highlight w:val="none"/>
              </w:rPr>
              <w:t>500</w:t>
            </w:r>
            <w:r>
              <w:rPr>
                <w:rFonts w:hint="eastAsia" w:ascii="仿宋" w:hAnsi="仿宋" w:eastAsia="仿宋" w:cs="仿宋_GB2312"/>
                <w:color w:val="000000"/>
                <w:kern w:val="0"/>
                <w:sz w:val="32"/>
                <w:szCs w:val="32"/>
                <w:highlight w:val="none"/>
              </w:rPr>
              <w:t>平方</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1500</w:t>
            </w:r>
          </w:p>
        </w:tc>
        <w:tc>
          <w:tcPr>
            <w:tcW w:w="2390" w:type="dxa"/>
            <w:vMerge w:val="continue"/>
            <w:tcBorders>
              <w:top w:val="single" w:color="000000" w:sz="12" w:space="0"/>
              <w:left w:val="single" w:color="000000" w:sz="12" w:space="0"/>
              <w:bottom w:val="single" w:color="000000" w:sz="12" w:space="0"/>
            </w:tcBorders>
            <w:noWrap w:val="0"/>
            <w:vAlign w:val="center"/>
          </w:tcPr>
          <w:p>
            <w:pPr>
              <w:widowControl/>
              <w:spacing w:line="430" w:lineRule="atLeast"/>
              <w:jc w:val="left"/>
              <w:rPr>
                <w:rFonts w:ascii="仿宋" w:hAnsi="仿宋" w:eastAsia="仿宋" w:cs="仿宋_GB2312"/>
                <w:color w:val="000000"/>
                <w:kern w:val="0"/>
                <w:sz w:val="3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89" w:hRule="atLeast"/>
        </w:trPr>
        <w:tc>
          <w:tcPr>
            <w:tcW w:w="2140" w:type="dxa"/>
            <w:vMerge w:val="continue"/>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每户</w:t>
            </w:r>
            <w:r>
              <w:rPr>
                <w:rFonts w:ascii="仿宋" w:hAnsi="仿宋" w:eastAsia="仿宋" w:cs="仿宋_GB2312"/>
                <w:color w:val="000000"/>
                <w:kern w:val="0"/>
                <w:sz w:val="32"/>
                <w:szCs w:val="32"/>
                <w:highlight w:val="none"/>
              </w:rPr>
              <w:t>(</w:t>
            </w:r>
            <w:r>
              <w:rPr>
                <w:rFonts w:hint="eastAsia" w:ascii="仿宋" w:hAnsi="仿宋" w:eastAsia="仿宋" w:cs="仿宋_GB2312"/>
                <w:color w:val="000000"/>
                <w:kern w:val="0"/>
                <w:sz w:val="32"/>
                <w:szCs w:val="32"/>
                <w:highlight w:val="none"/>
              </w:rPr>
              <w:t>住宅</w:t>
            </w:r>
            <w:r>
              <w:rPr>
                <w:rFonts w:ascii="仿宋" w:hAnsi="仿宋" w:eastAsia="仿宋" w:cs="仿宋_GB2312"/>
                <w:color w:val="000000"/>
                <w:kern w:val="0"/>
                <w:sz w:val="32"/>
                <w:szCs w:val="32"/>
                <w:highlight w:val="none"/>
              </w:rPr>
              <w:t>)500</w:t>
            </w:r>
            <w:r>
              <w:rPr>
                <w:rFonts w:hint="eastAsia" w:ascii="仿宋" w:hAnsi="仿宋" w:eastAsia="仿宋" w:cs="仿宋_GB2312"/>
                <w:color w:val="000000"/>
                <w:kern w:val="0"/>
                <w:sz w:val="32"/>
                <w:szCs w:val="32"/>
                <w:highlight w:val="none"/>
              </w:rPr>
              <w:t>平方以上的</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1800</w:t>
            </w:r>
          </w:p>
        </w:tc>
        <w:tc>
          <w:tcPr>
            <w:tcW w:w="2390" w:type="dxa"/>
            <w:vMerge w:val="continue"/>
            <w:tcBorders>
              <w:top w:val="single" w:color="000000" w:sz="12" w:space="0"/>
              <w:left w:val="single" w:color="000000" w:sz="12" w:space="0"/>
              <w:bottom w:val="single" w:color="000000" w:sz="12" w:space="0"/>
            </w:tcBorders>
            <w:noWrap w:val="0"/>
            <w:vAlign w:val="center"/>
          </w:tcPr>
          <w:p>
            <w:pPr>
              <w:widowControl/>
              <w:spacing w:line="430" w:lineRule="atLeast"/>
              <w:jc w:val="left"/>
              <w:rPr>
                <w:rFonts w:ascii="仿宋" w:hAnsi="仿宋" w:eastAsia="仿宋" w:cs="仿宋_GB2312"/>
                <w:color w:val="000000"/>
                <w:kern w:val="0"/>
                <w:sz w:val="3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406" w:hRule="atLeast"/>
        </w:trPr>
        <w:tc>
          <w:tcPr>
            <w:tcW w:w="2140" w:type="dxa"/>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水表报停费</w:t>
            </w: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每户</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50</w:t>
            </w:r>
          </w:p>
        </w:tc>
        <w:tc>
          <w:tcPr>
            <w:tcW w:w="2390" w:type="dxa"/>
            <w:vMerge w:val="continue"/>
            <w:tcBorders>
              <w:top w:val="single" w:color="000000" w:sz="12" w:space="0"/>
              <w:left w:val="single" w:color="000000" w:sz="12" w:space="0"/>
              <w:bottom w:val="single" w:color="000000" w:sz="12" w:space="0"/>
            </w:tcBorders>
            <w:noWrap w:val="0"/>
            <w:vAlign w:val="center"/>
          </w:tcPr>
          <w:p>
            <w:pPr>
              <w:widowControl/>
              <w:spacing w:line="430" w:lineRule="atLeast"/>
              <w:jc w:val="left"/>
              <w:rPr>
                <w:rFonts w:ascii="仿宋" w:hAnsi="仿宋" w:eastAsia="仿宋" w:cs="仿宋_GB2312"/>
                <w:color w:val="000000"/>
                <w:kern w:val="0"/>
                <w:sz w:val="3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406" w:hRule="atLeast"/>
        </w:trPr>
        <w:tc>
          <w:tcPr>
            <w:tcW w:w="2140" w:type="dxa"/>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电视迁移费</w:t>
            </w: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每户</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100</w:t>
            </w:r>
          </w:p>
        </w:tc>
        <w:tc>
          <w:tcPr>
            <w:tcW w:w="2390" w:type="dxa"/>
            <w:vMerge w:val="continue"/>
            <w:tcBorders>
              <w:top w:val="single" w:color="000000" w:sz="12" w:space="0"/>
              <w:left w:val="single" w:color="000000" w:sz="12" w:space="0"/>
              <w:bottom w:val="single" w:color="000000" w:sz="12" w:space="0"/>
            </w:tcBorders>
            <w:noWrap w:val="0"/>
            <w:vAlign w:val="center"/>
          </w:tcPr>
          <w:p>
            <w:pPr>
              <w:widowControl/>
              <w:jc w:val="left"/>
              <w:rPr>
                <w:rFonts w:ascii="仿宋" w:hAnsi="仿宋" w:eastAsia="仿宋" w:cs="仿宋_GB2312"/>
                <w:color w:val="000000"/>
                <w:kern w:val="0"/>
                <w:sz w:val="3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406" w:hRule="atLeast"/>
        </w:trPr>
        <w:tc>
          <w:tcPr>
            <w:tcW w:w="2140" w:type="dxa"/>
            <w:tcBorders>
              <w:top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电话迁移费</w:t>
            </w: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color w:val="000000"/>
                <w:kern w:val="0"/>
                <w:sz w:val="32"/>
                <w:szCs w:val="32"/>
                <w:highlight w:val="none"/>
              </w:rPr>
              <w:t>每户</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100</w:t>
            </w:r>
          </w:p>
        </w:tc>
        <w:tc>
          <w:tcPr>
            <w:tcW w:w="2390" w:type="dxa"/>
            <w:vMerge w:val="continue"/>
            <w:tcBorders>
              <w:top w:val="single" w:color="000000" w:sz="12" w:space="0"/>
              <w:left w:val="single" w:color="000000" w:sz="12" w:space="0"/>
              <w:bottom w:val="single" w:color="000000" w:sz="12" w:space="0"/>
            </w:tcBorders>
            <w:noWrap w:val="0"/>
            <w:vAlign w:val="center"/>
          </w:tcPr>
          <w:p>
            <w:pPr>
              <w:widowControl/>
              <w:jc w:val="left"/>
              <w:rPr>
                <w:rFonts w:ascii="仿宋" w:hAnsi="仿宋" w:eastAsia="仿宋" w:cs="仿宋_GB2312"/>
                <w:color w:val="000000"/>
                <w:kern w:val="0"/>
                <w:sz w:val="3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640" w:hRule="atLeast"/>
        </w:trPr>
        <w:tc>
          <w:tcPr>
            <w:tcW w:w="2140" w:type="dxa"/>
            <w:tcBorders>
              <w:top w:val="single" w:color="000000" w:sz="12" w:space="0"/>
              <w:bottom w:val="single" w:color="000000" w:sz="12" w:space="0"/>
              <w:right w:val="single" w:color="000000" w:sz="12" w:space="0"/>
            </w:tcBorders>
            <w:noWrap w:val="0"/>
            <w:vAlign w:val="center"/>
          </w:tcPr>
          <w:p>
            <w:pPr>
              <w:widowControl/>
              <w:spacing w:line="430" w:lineRule="atLeast"/>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 xml:space="preserve">  </w:t>
            </w:r>
            <w:r>
              <w:rPr>
                <w:rFonts w:hint="eastAsia" w:ascii="仿宋" w:hAnsi="仿宋" w:eastAsia="仿宋" w:cs="仿宋_GB2312"/>
                <w:color w:val="000000"/>
                <w:kern w:val="0"/>
                <w:sz w:val="32"/>
                <w:szCs w:val="32"/>
                <w:highlight w:val="none"/>
              </w:rPr>
              <w:t>空调迁移费</w:t>
            </w:r>
          </w:p>
        </w:tc>
        <w:tc>
          <w:tcPr>
            <w:tcW w:w="2216"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 xml:space="preserve">   </w:t>
            </w:r>
            <w:r>
              <w:rPr>
                <w:rFonts w:hint="eastAsia" w:ascii="仿宋" w:hAnsi="仿宋" w:eastAsia="仿宋" w:cs="仿宋_GB2312"/>
                <w:color w:val="000000"/>
                <w:kern w:val="0"/>
                <w:sz w:val="32"/>
                <w:szCs w:val="32"/>
                <w:highlight w:val="none"/>
              </w:rPr>
              <w:t>分体</w:t>
            </w:r>
            <w:r>
              <w:rPr>
                <w:rFonts w:ascii="仿宋" w:hAnsi="仿宋" w:eastAsia="仿宋" w:cs="仿宋_GB2312"/>
                <w:color w:val="000000"/>
                <w:kern w:val="0"/>
                <w:sz w:val="32"/>
                <w:szCs w:val="32"/>
                <w:highlight w:val="none"/>
              </w:rPr>
              <w:t>/</w:t>
            </w:r>
            <w:r>
              <w:rPr>
                <w:rFonts w:hint="eastAsia" w:ascii="仿宋" w:hAnsi="仿宋" w:eastAsia="仿宋" w:cs="仿宋_GB2312"/>
                <w:color w:val="000000"/>
                <w:kern w:val="0"/>
                <w:sz w:val="32"/>
                <w:szCs w:val="32"/>
                <w:highlight w:val="none"/>
              </w:rPr>
              <w:t>柜机</w:t>
            </w:r>
          </w:p>
          <w:p>
            <w:pPr>
              <w:widowControl/>
              <w:spacing w:line="430" w:lineRule="atLeast"/>
              <w:rPr>
                <w:rFonts w:ascii="仿宋" w:hAnsi="仿宋" w:eastAsia="仿宋" w:cs="仿宋_GB2312"/>
                <w:color w:val="000000"/>
                <w:kern w:val="0"/>
                <w:sz w:val="32"/>
                <w:szCs w:val="32"/>
                <w:highlight w:val="none"/>
              </w:rPr>
            </w:pPr>
            <w:r>
              <w:rPr>
                <w:rFonts w:ascii="仿宋" w:hAnsi="仿宋" w:eastAsia="仿宋" w:cs="仿宋_GB2312"/>
                <w:color w:val="000000"/>
                <w:kern w:val="0"/>
                <w:sz w:val="32"/>
                <w:szCs w:val="32"/>
                <w:highlight w:val="none"/>
              </w:rPr>
              <w:t xml:space="preserve">       </w:t>
            </w:r>
            <w:r>
              <w:rPr>
                <w:rFonts w:hint="eastAsia" w:ascii="仿宋" w:hAnsi="仿宋" w:eastAsia="仿宋" w:cs="仿宋_GB2312"/>
                <w:color w:val="000000"/>
                <w:kern w:val="0"/>
                <w:sz w:val="32"/>
                <w:szCs w:val="32"/>
                <w:highlight w:val="none"/>
              </w:rPr>
              <w:t>台</w:t>
            </w:r>
          </w:p>
        </w:tc>
        <w:tc>
          <w:tcPr>
            <w:tcW w:w="231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30" w:lineRule="atLeast"/>
              <w:jc w:val="center"/>
              <w:rPr>
                <w:rFonts w:ascii="仿宋" w:hAnsi="仿宋" w:eastAsia="仿宋" w:cs="仿宋_GB2312"/>
                <w:color w:val="000000"/>
                <w:kern w:val="0"/>
                <w:sz w:val="32"/>
                <w:szCs w:val="32"/>
                <w:highlight w:val="none"/>
              </w:rPr>
            </w:pPr>
            <w:r>
              <w:rPr>
                <w:rFonts w:hint="eastAsia" w:ascii="仿宋" w:hAnsi="仿宋" w:eastAsia="仿宋" w:cs="仿宋_GB2312"/>
                <w:kern w:val="0"/>
                <w:sz w:val="32"/>
                <w:szCs w:val="32"/>
                <w:highlight w:val="none"/>
              </w:rPr>
              <w:t>3</w:t>
            </w:r>
            <w:r>
              <w:rPr>
                <w:rFonts w:ascii="仿宋" w:hAnsi="仿宋" w:eastAsia="仿宋" w:cs="仿宋_GB2312"/>
                <w:kern w:val="0"/>
                <w:sz w:val="32"/>
                <w:szCs w:val="32"/>
                <w:highlight w:val="none"/>
              </w:rPr>
              <w:t>00/50</w:t>
            </w:r>
            <w:r>
              <w:rPr>
                <w:rFonts w:hint="eastAsia" w:ascii="仿宋" w:hAnsi="仿宋" w:eastAsia="仿宋" w:cs="仿宋_GB2312"/>
                <w:kern w:val="0"/>
                <w:sz w:val="32"/>
                <w:szCs w:val="32"/>
                <w:highlight w:val="none"/>
              </w:rPr>
              <w:t>0</w:t>
            </w:r>
          </w:p>
        </w:tc>
        <w:tc>
          <w:tcPr>
            <w:tcW w:w="2390" w:type="dxa"/>
            <w:vMerge w:val="continue"/>
            <w:tcBorders>
              <w:top w:val="single" w:color="000000" w:sz="12" w:space="0"/>
              <w:left w:val="single" w:color="000000" w:sz="12" w:space="0"/>
              <w:bottom w:val="single" w:color="000000" w:sz="12" w:space="0"/>
            </w:tcBorders>
            <w:noWrap w:val="0"/>
            <w:vAlign w:val="center"/>
          </w:tcPr>
          <w:p>
            <w:pPr>
              <w:widowControl/>
              <w:jc w:val="left"/>
              <w:rPr>
                <w:rFonts w:ascii="仿宋" w:hAnsi="仿宋" w:eastAsia="仿宋" w:cs="仿宋_GB2312"/>
                <w:color w:val="000000"/>
                <w:kern w:val="0"/>
                <w:sz w:val="32"/>
                <w:szCs w:val="32"/>
                <w:highlight w:val="none"/>
              </w:rPr>
            </w:pPr>
          </w:p>
        </w:tc>
      </w:tr>
    </w:tbl>
    <w:p>
      <w:pPr>
        <w:pStyle w:val="8"/>
        <w:ind w:left="0"/>
        <w:jc w:val="left"/>
        <w:rPr>
          <w:rFonts w:hint="eastAsia" w:ascii="宋体" w:hAnsi="宋体" w:eastAsia="宋体" w:cs="仿宋_GB2312"/>
          <w:sz w:val="32"/>
          <w:szCs w:val="32"/>
          <w:highlight w:val="none"/>
          <w:lang w:eastAsia="zh-CN"/>
        </w:rPr>
      </w:pPr>
    </w:p>
    <w:sectPr>
      <w:pgSz w:w="11906" w:h="16838"/>
      <w:pgMar w:top="2211" w:right="1474" w:bottom="1871" w:left="1587"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p2gcnIAQAAmQMAAA4AAABkcnMv&#10;ZTJvRG9jLnhtbK1TzY7TMBC+I/EOlu/UaQ+oipquFlWLkBAgLTyA69iNJf/J4zbpC8AbcOLCnefq&#10;czB2ku6yXPawl2Q8M/nm+z5PNjeDNeQkI2jvGrpcVJRIJ3yr3aGh377evVlTAom7lhvvZEPPEujN&#10;9vWrTR9qufKdN62MBEEc1H1oaJdSqBkD0UnLYeGDdFhUPlqe8BgPrI28R3Rr2Kqq3rLexzZELyQA&#10;ZndjkU6I8TmAXikt5M6Lo5UujahRGp5QEnQ6AN0WtkpJkT4rBTIR01BUmsoTh2C8z0+23fD6EHno&#10;tJgo8OdQeKLJcu1w6BVqxxMnx6j/g7JaRA9epYXwlo1CiiOoYlk98ea+40EWLWg1hKvp8HKw4tPp&#10;SyS6xU2gxHGLF375+ePy68/l93eyzPb0AWrsug/Yl4Z3fsitUx4wmVUPKtr8Rj0E62ju+WquHBIR&#10;+aP1ar2usCSwNh8Qhz18HiKk99JbkoOGRry9Yio/fYQ0ts4teZrzd9oYzPPauH8SiJkzLHMfOeYo&#10;DfthIr737Rn19HjxDXW455SYDw59zTsyB3EO9nNwDFEfOqS2LLwg3B4Tkijc8oQRdhqMN1bUTduV&#10;V+LxuXQ9/FH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M6pebnPAAAABQEAAA8AAAAAAAAAAQAg&#10;AAAAOAAAAGRycy9kb3ducmV2LnhtbFBLAQIUABQAAAAIAIdO4kAadoHJyAEAAJkDAAAOAAAAAAAA&#10;AAEAIAAAADQBAABkcnMvZTJvRG9jLnhtbFBLBQYAAAAABgAGAFkBAABuBQ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A6BDE"/>
    <w:multiLevelType w:val="singleLevel"/>
    <w:tmpl w:val="8F6A6BDE"/>
    <w:lvl w:ilvl="0" w:tentative="0">
      <w:start w:val="7"/>
      <w:numFmt w:val="chineseCounting"/>
      <w:suff w:val="nothing"/>
      <w:lvlText w:val="%1、"/>
      <w:lvlJc w:val="left"/>
      <w:pPr>
        <w:ind w:left="640" w:firstLine="0"/>
      </w:pPr>
      <w:rPr>
        <w:rFonts w:hint="eastAsia"/>
      </w:rPr>
    </w:lvl>
  </w:abstractNum>
  <w:abstractNum w:abstractNumId="1">
    <w:nsid w:val="C8FD07FC"/>
    <w:multiLevelType w:val="singleLevel"/>
    <w:tmpl w:val="C8FD07FC"/>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4YWUwMGNlNWRjMzg1ZjgwOTJiZjc1ZDYzYjYzMTAifQ=="/>
  </w:docVars>
  <w:rsids>
    <w:rsidRoot w:val="00172A27"/>
    <w:rsid w:val="00072343"/>
    <w:rsid w:val="00634E46"/>
    <w:rsid w:val="00A27A28"/>
    <w:rsid w:val="00C50775"/>
    <w:rsid w:val="00FC5520"/>
    <w:rsid w:val="03AC1253"/>
    <w:rsid w:val="03B31FF2"/>
    <w:rsid w:val="04B648BA"/>
    <w:rsid w:val="0670603F"/>
    <w:rsid w:val="07D20F75"/>
    <w:rsid w:val="07F27D26"/>
    <w:rsid w:val="0B1E3947"/>
    <w:rsid w:val="0F871668"/>
    <w:rsid w:val="11155A3C"/>
    <w:rsid w:val="18234885"/>
    <w:rsid w:val="199E74B5"/>
    <w:rsid w:val="1A7E58B5"/>
    <w:rsid w:val="1D773AAF"/>
    <w:rsid w:val="1DA90A39"/>
    <w:rsid w:val="1E492CFD"/>
    <w:rsid w:val="1FCA6336"/>
    <w:rsid w:val="21AD6D40"/>
    <w:rsid w:val="22BE7761"/>
    <w:rsid w:val="29930C18"/>
    <w:rsid w:val="2B7A1D63"/>
    <w:rsid w:val="2C643369"/>
    <w:rsid w:val="2C6642C4"/>
    <w:rsid w:val="2D044EF8"/>
    <w:rsid w:val="2FB41830"/>
    <w:rsid w:val="2FD033F0"/>
    <w:rsid w:val="301A26F3"/>
    <w:rsid w:val="31AA68B4"/>
    <w:rsid w:val="323765C1"/>
    <w:rsid w:val="342015F4"/>
    <w:rsid w:val="34B23A54"/>
    <w:rsid w:val="35C7384A"/>
    <w:rsid w:val="37FC24EC"/>
    <w:rsid w:val="38D12BD0"/>
    <w:rsid w:val="39DF5C0E"/>
    <w:rsid w:val="3B600EEA"/>
    <w:rsid w:val="3B7D6400"/>
    <w:rsid w:val="3B987886"/>
    <w:rsid w:val="3DD52CC5"/>
    <w:rsid w:val="414B679B"/>
    <w:rsid w:val="41562AF9"/>
    <w:rsid w:val="44BC7116"/>
    <w:rsid w:val="44E774EA"/>
    <w:rsid w:val="482A4397"/>
    <w:rsid w:val="484A4A39"/>
    <w:rsid w:val="4A805051"/>
    <w:rsid w:val="4AD26375"/>
    <w:rsid w:val="4E5A21B9"/>
    <w:rsid w:val="4FF3350B"/>
    <w:rsid w:val="50092810"/>
    <w:rsid w:val="50B73CE6"/>
    <w:rsid w:val="51571A6C"/>
    <w:rsid w:val="51C53C84"/>
    <w:rsid w:val="528164EA"/>
    <w:rsid w:val="53E54A12"/>
    <w:rsid w:val="53E6102D"/>
    <w:rsid w:val="5483605E"/>
    <w:rsid w:val="566D6211"/>
    <w:rsid w:val="567374C1"/>
    <w:rsid w:val="57AD7C2C"/>
    <w:rsid w:val="57DD4F82"/>
    <w:rsid w:val="5DC4702E"/>
    <w:rsid w:val="60622140"/>
    <w:rsid w:val="62377893"/>
    <w:rsid w:val="631A756B"/>
    <w:rsid w:val="64813EDE"/>
    <w:rsid w:val="65696936"/>
    <w:rsid w:val="67F506A6"/>
    <w:rsid w:val="6924386E"/>
    <w:rsid w:val="6BB169D5"/>
    <w:rsid w:val="6C39003D"/>
    <w:rsid w:val="6DC07824"/>
    <w:rsid w:val="6DEE254B"/>
    <w:rsid w:val="6F5806BD"/>
    <w:rsid w:val="6FDE2465"/>
    <w:rsid w:val="6FFFC54C"/>
    <w:rsid w:val="724D7270"/>
    <w:rsid w:val="742A5D78"/>
    <w:rsid w:val="7507440E"/>
    <w:rsid w:val="7B720A5D"/>
    <w:rsid w:val="7DC531E9"/>
    <w:rsid w:val="7E5B2207"/>
    <w:rsid w:val="7F1978F9"/>
    <w:rsid w:val="7F3D52A0"/>
    <w:rsid w:val="7F440BC7"/>
    <w:rsid w:val="F58B1EF0"/>
    <w:rsid w:val="FDDF7E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character" w:default="1" w:styleId="6">
    <w:name w:val="Default Paragraph Font"/>
    <w:qFormat/>
    <w:uiPriority w:val="0"/>
    <w:rPr>
      <w:rFonts w:ascii="Calibri" w:hAnsi="Calibri" w:eastAsia="宋体" w:cs="Times New Roman"/>
    </w:rPr>
  </w:style>
  <w:style w:type="table" w:default="1" w:styleId="5">
    <w:name w:val="Normal Table"/>
    <w:qFormat/>
    <w:uiPriority w:val="0"/>
    <w:rPr>
      <w:rFonts w:ascii="Calibri" w:hAnsi="Calibri" w:eastAsia="宋体" w:cs="Times New Roman"/>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Calibri" w:hAnsi="Calibri" w:eastAsia="宋体" w:cs="Times New Roman"/>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Hyperlink"/>
    <w:basedOn w:val="6"/>
    <w:qFormat/>
    <w:uiPriority w:val="0"/>
    <w:rPr>
      <w:rFonts w:ascii="Calibri" w:hAnsi="Calibri" w:eastAsia="宋体" w:cs="Times New Roman"/>
      <w:color w:val="0000FF"/>
      <w:u w:val="single"/>
    </w:rPr>
  </w:style>
  <w:style w:type="paragraph" w:customStyle="1" w:styleId="8">
    <w:name w:val="p0"/>
    <w:basedOn w:val="1"/>
    <w:qFormat/>
    <w:uiPriority w:val="0"/>
    <w:pPr>
      <w:widowControl/>
      <w:spacing w:line="365" w:lineRule="atLeast"/>
      <w:ind w:left="1"/>
    </w:pPr>
    <w:rPr>
      <w:rFonts w:ascii="Calibri" w:hAnsi="Calibri" w:eastAsia="宋体" w:cs="Times New Roman"/>
      <w:kern w:val="0"/>
      <w:sz w:val="20"/>
      <w:szCs w:val="20"/>
    </w:rPr>
  </w:style>
  <w:style w:type="paragraph" w:customStyle="1" w:styleId="9">
    <w:name w:val="p15"/>
    <w:basedOn w:val="1"/>
    <w:qFormat/>
    <w:uiPriority w:val="0"/>
    <w:pPr>
      <w:widowControl/>
      <w:spacing w:line="240" w:lineRule="atLeast"/>
      <w:ind w:left="1"/>
      <w:jc w:val="center"/>
    </w:pPr>
    <w:rPr>
      <w:rFonts w:ascii="Arial" w:hAnsi="Arial" w:eastAsia="宋体" w:cs="Arial"/>
      <w:kern w:val="0"/>
      <w:sz w:val="52"/>
      <w:szCs w:val="5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3110</Words>
  <Characters>3222</Characters>
  <Lines>26</Lines>
  <Paragraphs>7</Paragraphs>
  <TotalTime>22</TotalTime>
  <ScaleCrop>false</ScaleCrop>
  <LinksUpToDate>false</LinksUpToDate>
  <CharactersWithSpaces>3265</CharactersWithSpaces>
  <Application>WPS Office_11.8.2.12275_F1E327BC-269C-435d-A152-05C5408002CA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2008-12-27T08:45:00Z</dcterms:created>
  <dc:creator>Administrator</dc:creator>
  <cp:lastModifiedBy>user</cp:lastModifiedBy>
  <cp:lastPrinted>2025-05-23T09:22:57Z</cp:lastPrinted>
  <dcterms:modified xsi:type="dcterms:W3CDTF">2025-05-23T10:19:09Z</dcterms:modified>
  <dc:title>连州市湟川中路地块旧城改造和路网扩建项目房屋征收补偿方案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2052-11.8.2.12275</vt:lpwstr>
  </property>
  <property fmtid="{D5CDD505-2E9C-101B-9397-08002B2CF9AE}" pid="3" name="ICV">
    <vt:lpwstr>D4DF12B0A25A48A1BFE5B20228A24AC1</vt:lpwstr>
  </property>
</Properties>
</file>