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关于连州市市区公办初中学生</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住宿费收费标准制定方案（政策解读）</w:t>
      </w:r>
      <w:bookmarkEnd w:id="0"/>
    </w:p>
    <w:p>
      <w:pPr>
        <w:rPr>
          <w:rFonts w:hint="eastAsia" w:ascii="仿宋_GB2312" w:hAnsi="仿宋_GB2312" w:eastAsia="仿宋_GB2312" w:cs="仿宋_GB2312"/>
          <w:sz w:val="32"/>
          <w:szCs w:val="32"/>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方案出台的背景、必要性</w:t>
      </w:r>
    </w:p>
    <w:p>
      <w:pPr>
        <w:numPr>
          <w:ilvl w:val="0"/>
          <w:numId w:val="0"/>
        </w:numPr>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经费缺口长期存在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自实施义务教育“两免”政策以来，市区公办初中寄宿制学校宿舍运行资金主要依赖每生每年350元的寄宿制公用经费补助。该补助长期无法覆盖实际运营成本，学校需用本应用于教育教学、维修维护的初中生均公用经费补充缺口，影响正常教育投入。</w:t>
      </w:r>
    </w:p>
    <w:p>
      <w:pPr>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 xml:space="preserve">运营成本持续攀升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近年来物价上涨导致宿舍水电消耗、日常维护、卫生保洁、安全保卫及设备更新等刚性支出显著增加，原有经费模式难以为继，宿舍运行压力日益增大。</w:t>
      </w:r>
    </w:p>
    <w:p>
      <w:pPr>
        <w:ind w:firstLine="320" w:firstLineChars="1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保障服务质量的迫切需求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为维持宿舍基本运行安全和服务水平，亟需通过依法制定合理收费标准，缓解学校经费压力，确保学生住宿环境得到有效保障。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二、实施目标与政策意义</w:t>
      </w:r>
    </w:p>
    <w:p>
      <w:pPr>
        <w:ind w:firstLine="320" w:firstLineChars="1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核心目标</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补成本、减负担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精准补偿扣除财政补助后的宿舍实际运营成本，避免挤占教育教学经费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提质量、保安全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收费住宿费</w:t>
      </w:r>
      <w:r>
        <w:rPr>
          <w:rFonts w:hint="eastAsia" w:ascii="仿宋_GB2312" w:hAnsi="仿宋_GB2312" w:eastAsia="仿宋_GB2312" w:cs="仿宋_GB2312"/>
          <w:sz w:val="32"/>
          <w:szCs w:val="32"/>
        </w:rPr>
        <w:t xml:space="preserve">补充提升宿舍设施维护水平与内务管理服务质量。  </w:t>
      </w:r>
    </w:p>
    <w:p>
      <w:pPr>
        <w:ind w:firstLine="320" w:firstLineChars="1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政策意义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保障可持续运行</w:t>
      </w:r>
      <w:r>
        <w:rPr>
          <w:rFonts w:hint="eastAsia" w:ascii="仿宋_GB2312" w:hAnsi="仿宋_GB2312" w:eastAsia="仿宋_GB2312" w:cs="仿宋_GB2312"/>
          <w:sz w:val="32"/>
          <w:szCs w:val="32"/>
          <w:lang w:eastAsia="zh-CN"/>
        </w:rPr>
        <w:t>，收取住宿费</w:t>
      </w:r>
      <w:r>
        <w:rPr>
          <w:rFonts w:hint="eastAsia" w:ascii="仿宋_GB2312" w:hAnsi="仿宋_GB2312" w:eastAsia="仿宋_GB2312" w:cs="仿宋_GB2312"/>
          <w:sz w:val="32"/>
          <w:szCs w:val="32"/>
        </w:rPr>
        <w:t>，确保寄宿制教育模式长期稳定发展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促进教育公平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在坚持义务教育公益性原则下，由家庭合理分担部分成本，实现资源可持续利用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规范收费行为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通过政府定价机制，杜绝乱收费，保障收费公开透明、合法合规。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三、主要内容解读</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 xml:space="preserve">收费标准及依据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881"/>
        <w:gridCol w:w="239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7" w:type="dxa"/>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eastAsia="zh-CN"/>
              </w:rPr>
              <w:t>收费项目</w:t>
            </w:r>
          </w:p>
        </w:tc>
        <w:tc>
          <w:tcPr>
            <w:tcW w:w="2881" w:type="dxa"/>
            <w:vAlign w:val="center"/>
          </w:tcPr>
          <w:p>
            <w:pPr>
              <w:shd w:val="solid" w:color="FFFFFF" w:fill="auto"/>
              <w:kinsoku/>
              <w:autoSpaceDE/>
              <w:autoSpaceDN w:val="0"/>
              <w:ind w:firstLine="1049" w:firstLineChars="328"/>
              <w:jc w:val="both"/>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eastAsia="zh-CN"/>
              </w:rPr>
              <w:t>类别</w:t>
            </w:r>
          </w:p>
        </w:tc>
        <w:tc>
          <w:tcPr>
            <w:tcW w:w="2396" w:type="dxa"/>
            <w:vAlign w:val="center"/>
          </w:tcPr>
          <w:p>
            <w:pPr>
              <w:shd w:val="solid" w:color="FFFFFF" w:fill="auto"/>
              <w:kinsoku/>
              <w:autoSpaceDE/>
              <w:autoSpaceDN w:val="0"/>
              <w:ind w:firstLine="480" w:firstLineChars="0"/>
              <w:jc w:val="both"/>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eastAsia="zh-CN"/>
              </w:rPr>
              <w:t>收费标准</w:t>
            </w:r>
          </w:p>
        </w:tc>
        <w:tc>
          <w:tcPr>
            <w:tcW w:w="1498" w:type="dxa"/>
            <w:vAlign w:val="center"/>
          </w:tcPr>
          <w:p>
            <w:pPr>
              <w:pStyle w:val="2"/>
              <w:widowControl/>
              <w:numPr>
                <w:ilvl w:val="0"/>
                <w:numId w:val="0"/>
              </w:numPr>
              <w:spacing w:line="415" w:lineRule="auto"/>
              <w:jc w:val="center"/>
              <w:outlineLvl w:val="1"/>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7" w:type="dxa"/>
            <w:vMerge w:val="restart"/>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eastAsia="zh-CN"/>
              </w:rPr>
              <w:t>住宿费</w:t>
            </w:r>
          </w:p>
        </w:tc>
        <w:tc>
          <w:tcPr>
            <w:tcW w:w="2881" w:type="dxa"/>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eastAsia="zh-CN"/>
              </w:rPr>
              <w:t>公办初中学生宿舍（无空调）</w:t>
            </w:r>
          </w:p>
        </w:tc>
        <w:tc>
          <w:tcPr>
            <w:tcW w:w="2396" w:type="dxa"/>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val="en-US" w:eastAsia="zh-CN"/>
              </w:rPr>
              <w:t>300</w:t>
            </w:r>
            <w:r>
              <w:rPr>
                <w:rFonts w:hint="eastAsia" w:ascii="仿宋_GB2312" w:hAnsi="仿宋_GB2312" w:eastAsia="仿宋_GB2312" w:cs="仿宋_GB2312"/>
                <w:b w:val="0"/>
                <w:i w:val="0"/>
                <w:snapToGrid/>
                <w:color w:val="000000"/>
                <w:sz w:val="32"/>
                <w:szCs w:val="32"/>
                <w:shd w:val="clear" w:color="auto" w:fill="FFFFFF"/>
                <w:lang w:eastAsia="zh-CN"/>
              </w:rPr>
              <w:t>元/生·学期</w:t>
            </w:r>
          </w:p>
        </w:tc>
        <w:tc>
          <w:tcPr>
            <w:tcW w:w="1498" w:type="dxa"/>
            <w:vMerge w:val="restart"/>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含水电费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7" w:type="dxa"/>
            <w:vMerge w:val="continue"/>
            <w:vAlign w:val="center"/>
          </w:tcPr>
          <w:p>
            <w:pPr>
              <w:shd w:val="solid" w:color="FFFFFF" w:fill="auto"/>
              <w:kinsoku/>
              <w:autoSpaceDE/>
              <w:autoSpaceDN w:val="0"/>
              <w:ind w:firstLine="480" w:firstLineChars="0"/>
              <w:jc w:val="center"/>
              <w:rPr>
                <w:rFonts w:hint="eastAsia" w:ascii="仿宋_GB2312" w:hAnsi="仿宋_GB2312" w:eastAsia="仿宋_GB2312" w:cs="仿宋_GB2312"/>
                <w:b w:val="0"/>
                <w:bCs w:val="0"/>
                <w:sz w:val="32"/>
                <w:szCs w:val="32"/>
                <w:vertAlign w:val="baseline"/>
                <w:lang w:eastAsia="zh-CN"/>
              </w:rPr>
            </w:pPr>
          </w:p>
        </w:tc>
        <w:tc>
          <w:tcPr>
            <w:tcW w:w="2881" w:type="dxa"/>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eastAsia="zh-CN"/>
              </w:rPr>
              <w:t>公办初中学生宿舍（有空调）</w:t>
            </w:r>
          </w:p>
        </w:tc>
        <w:tc>
          <w:tcPr>
            <w:tcW w:w="2396" w:type="dxa"/>
            <w:vAlign w:val="center"/>
          </w:tcPr>
          <w:p>
            <w:pPr>
              <w:shd w:val="solid" w:color="FFFFFF" w:fill="auto"/>
              <w:kinsoku/>
              <w:autoSpaceDE/>
              <w:autoSpaceDN w:val="0"/>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i w:val="0"/>
                <w:snapToGrid/>
                <w:color w:val="000000"/>
                <w:sz w:val="32"/>
                <w:szCs w:val="32"/>
                <w:shd w:val="clear" w:color="auto" w:fill="FFFFFF"/>
                <w:lang w:val="en-US" w:eastAsia="zh-CN"/>
              </w:rPr>
              <w:t>400</w:t>
            </w:r>
            <w:r>
              <w:rPr>
                <w:rFonts w:hint="eastAsia" w:ascii="仿宋_GB2312" w:hAnsi="仿宋_GB2312" w:eastAsia="仿宋_GB2312" w:cs="仿宋_GB2312"/>
                <w:b w:val="0"/>
                <w:i w:val="0"/>
                <w:snapToGrid/>
                <w:color w:val="000000"/>
                <w:sz w:val="32"/>
                <w:szCs w:val="32"/>
                <w:shd w:val="clear" w:color="auto" w:fill="FFFFFF"/>
                <w:lang w:eastAsia="zh-CN"/>
              </w:rPr>
              <w:t>元/生·学期</w:t>
            </w:r>
          </w:p>
        </w:tc>
        <w:tc>
          <w:tcPr>
            <w:tcW w:w="1498" w:type="dxa"/>
            <w:vMerge w:val="continue"/>
            <w:vAlign w:val="center"/>
          </w:tcPr>
          <w:p>
            <w:pPr>
              <w:shd w:val="solid" w:color="FFFFFF" w:fill="auto"/>
              <w:kinsoku/>
              <w:autoSpaceDE/>
              <w:autoSpaceDN w:val="0"/>
              <w:ind w:firstLine="480" w:firstLineChars="0"/>
              <w:jc w:val="center"/>
              <w:rPr>
                <w:rFonts w:hint="eastAsia" w:ascii="仿宋_GB2312" w:hAnsi="仿宋_GB2312" w:eastAsia="仿宋_GB2312" w:cs="仿宋_GB2312"/>
                <w:b w:val="0"/>
                <w:bCs w:val="0"/>
                <w:sz w:val="32"/>
                <w:szCs w:val="32"/>
                <w:vertAlign w:val="baseline"/>
                <w:lang w:eastAsia="zh-CN"/>
              </w:rPr>
            </w:pPr>
          </w:p>
        </w:tc>
      </w:tr>
    </w:tbl>
    <w:p>
      <w:pPr>
        <w:pStyle w:val="2"/>
        <w:rPr>
          <w:rFonts w:hint="eastAsia"/>
        </w:rPr>
      </w:pPr>
    </w:p>
    <w:p>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收费</w:t>
      </w:r>
      <w:r>
        <w:rPr>
          <w:rFonts w:hint="eastAsia" w:ascii="仿宋_GB2312" w:hAnsi="仿宋_GB2312" w:eastAsia="仿宋_GB2312" w:cs="仿宋_GB2312"/>
          <w:sz w:val="32"/>
          <w:szCs w:val="32"/>
        </w:rPr>
        <w:t>标准基于连州市教育局提供广东立信嘉州会计师事务所有限公司《关于连州市教育局下属连州市连州中学、连州市北山中学、连州市慧光中学、广州六中连州实验中学四所学校初中学生宿舍住宿定价成本核定专项审计报告》</w:t>
      </w:r>
      <w:r>
        <w:rPr>
          <w:rFonts w:hint="eastAsia" w:ascii="仿宋_GB2312" w:hAnsi="仿宋_GB2312" w:eastAsia="仿宋_GB2312" w:cs="仿宋_GB2312"/>
          <w:sz w:val="32"/>
          <w:szCs w:val="32"/>
          <w:lang w:eastAsia="zh-CN"/>
        </w:rPr>
        <w:t>的报告基础上进行了</w:t>
      </w:r>
      <w:r>
        <w:rPr>
          <w:rFonts w:hint="eastAsia" w:ascii="仿宋_GB2312" w:hAnsi="仿宋_GB2312" w:eastAsia="仿宋_GB2312" w:cs="仿宋_GB2312"/>
          <w:sz w:val="32"/>
          <w:szCs w:val="32"/>
        </w:rPr>
        <w:t>成本调查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扣减财政补助后核定标准</w:t>
      </w:r>
      <w:r>
        <w:rPr>
          <w:rFonts w:hint="eastAsia" w:ascii="仿宋_GB2312" w:hAnsi="仿宋_GB2312" w:eastAsia="仿宋_GB2312" w:cs="仿宋_GB2312"/>
          <w:sz w:val="32"/>
          <w:szCs w:val="32"/>
          <w:lang w:eastAsia="zh-CN"/>
        </w:rPr>
        <w:t>。</w:t>
      </w:r>
    </w:p>
    <w:p>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已扣除每生每学期175元的财政补助</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分类定价体现设施差异，兼顾成本补偿与家庭负担能力。</w:t>
      </w:r>
    </w:p>
    <w:p>
      <w:pPr>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 xml:space="preserve">执行规范要求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严格公示监督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学校需公示收费标准，使用规定票据，主动接受监管部门检查。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强化成本管控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要求学校节约开支、加强成本核算，确保经费用于宿舍运维与条件改善。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动态调整机制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收费标准自公布之日起实施，有效期5年。若执行期间成本发生重大变化，将重新启动成本监审</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 xml:space="preserve">和标准评估，适时调整。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政策衔接说明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仅面向市区公办初中寄宿生收费，农村义务教育寄宿生免收住宿费。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聚焦解决宿舍运营经费短缺问题，通过科学核定成本、分类制定标准，既保障学校可持续运行，又维护学生权益。政策严格遵循定价规则，强调过程透明、家庭合理分担，最终实现改善住宿条件与教育资源优化利用的双重目标。</w:t>
      </w: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866C0"/>
    <w:multiLevelType w:val="singleLevel"/>
    <w:tmpl w:val="E9D866C0"/>
    <w:lvl w:ilvl="0" w:tentative="0">
      <w:start w:val="1"/>
      <w:numFmt w:val="decimal"/>
      <w:suff w:val="nothing"/>
      <w:lvlText w:val="%1、"/>
      <w:lvlJc w:val="left"/>
    </w:lvl>
  </w:abstractNum>
  <w:abstractNum w:abstractNumId="1">
    <w:nsid w:val="7F4108EE"/>
    <w:multiLevelType w:val="singleLevel"/>
    <w:tmpl w:val="7F4108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453E1"/>
    <w:rsid w:val="211E7280"/>
    <w:rsid w:val="2AD4056C"/>
    <w:rsid w:val="3B724507"/>
    <w:rsid w:val="49D25D20"/>
    <w:rsid w:val="57A26CA1"/>
    <w:rsid w:val="5A4954E2"/>
    <w:rsid w:val="7824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widowControl/>
      <w:spacing w:line="415" w:lineRule="auto"/>
      <w:outlineLvl w:val="1"/>
    </w:pPr>
    <w:rPr>
      <w:rFonts w:ascii="Calibri Light" w:hAnsi="Calibri Light" w:eastAsia="宋体" w:cs="宋体"/>
      <w:b/>
      <w:bCs/>
      <w:kern w:val="0"/>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2025-06-10T07:21:00Z</dcterms:created>
  <dc:creator>一+一王堇</dc:creator>
  <cp:lastModifiedBy>Administrator</cp:lastModifiedBy>
  <cp:lastPrinted>2025-06-16T06:27:00Z</cp:lastPrinted>
  <dcterms:modified xsi:type="dcterms:W3CDTF">2025-07-24T01:49:40Z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