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spacing w:val="-20"/>
          <w:kern w:val="0"/>
          <w:sz w:val="44"/>
          <w:szCs w:val="44"/>
          <w:lang w:val="en-US" w:eastAsia="zh-CN"/>
        </w:rPr>
        <w:t>关于调整连州市大财岭陵园收费标准方案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一、起草背景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（一）政策刚性要求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根据《广东省发展改革委 广东省民政厅关于进一步加强殡葬服务价格管理及有关问题的通知》（粤发改规〔2018〕8号），明确要求对2011年6月8日前以非“招拍挂”方式取得土地使用权的经营性公墓（含大财岭陵园）实行政府指导价管理，涵盖墓穴费、墓碑石费和护墓管理费三项。本次调整是落实省级政策的必然举措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（二）定价机制完善需求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价格法》第二十一条规定，制定政府指导、政府定价，应当依据有关商品或者服务的社会平均成本和市场供求状况、国民经济与社会发展要求以及社会承受能力，实行合理的购销差价、批零差价、地区差价和季节差价。原墓碑石费“按成本价销售”模式缺乏公开透明的核算标准，易引发价格争议。调整为“进货价加差率”机制可规范定价行为，保障服务可持续性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（三）群众权益保障需求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针对群众反映的殡葬负担问题，方案明确要求提供普惠型墓碑石选项，并禁止陵园限制丧属自行购买、安装墓碑石，切实保障消费者选择权与公平交易权。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二、实施目标与政策意义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（一）核心目标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建立透明、规范的墓碑石费政府指导价机制，遏制随意加价行为；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通过普惠型服务和自带安装条款，降低群众殡葬负担；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构建完整的公墓服务价格监管体系（墓穴费、墓碑石费、护墓管理费全覆盖）。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（二）政策意义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规范市场秩序：统一差率定价杜绝价格不透明，促进公平交易；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保障基本民生：普惠型选项呼应“逝有所安”民生需求，减轻群众经济压力；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防控社会风险：通过差率上限、建墓标准约束及自愿原则，防范“天价墓碑”及强制消费；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强化政策协同：与既有墓穴费、护墓费政策衔接，形成殡葬服务价格管理闭环。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三、主要内容解读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（一）政府指导价覆盖三项收费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（二）文件拟确立的主要措施。延用连发改收费〔2019〕5号文对墓穴费、护墓管理费的既有标准，保持政策连续性，聚焦墓碑石费单点调整。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连州市发展和改革局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2025年7月1日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A7825"/>
    <w:rsid w:val="0330196E"/>
    <w:rsid w:val="0E570A35"/>
    <w:rsid w:val="10F6635A"/>
    <w:rsid w:val="127A5033"/>
    <w:rsid w:val="158041FD"/>
    <w:rsid w:val="178D5280"/>
    <w:rsid w:val="1EC10264"/>
    <w:rsid w:val="265D4906"/>
    <w:rsid w:val="2B392BF7"/>
    <w:rsid w:val="30DA7825"/>
    <w:rsid w:val="35140F66"/>
    <w:rsid w:val="3AB22B2A"/>
    <w:rsid w:val="3F7134AE"/>
    <w:rsid w:val="44733BA0"/>
    <w:rsid w:val="553E1E4F"/>
    <w:rsid w:val="557B3881"/>
    <w:rsid w:val="58351E13"/>
    <w:rsid w:val="5DAB17A0"/>
    <w:rsid w:val="6027415F"/>
    <w:rsid w:val="65A1599C"/>
    <w:rsid w:val="65C16A33"/>
    <w:rsid w:val="67FC6877"/>
    <w:rsid w:val="752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2024-03-11T00:29:00Z</dcterms:created>
  <dc:creator>Administrator</dc:creator>
  <cp:lastModifiedBy>Administrator</cp:lastModifiedBy>
  <cp:lastPrinted>2025-07-22T01:59:56Z</cp:lastPrinted>
  <dcterms:modified xsi:type="dcterms:W3CDTF">2025-07-22T02:00:20Z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