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B6BFE6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连州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市人力资源服务产业园运营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服务单位</w:t>
      </w:r>
    </w:p>
    <w:p w14:paraId="57B8706D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公开遴选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评分标准</w:t>
      </w:r>
    </w:p>
    <w:bookmarkEnd w:id="0"/>
    <w:p w14:paraId="EE4A8597">
      <w:pPr>
        <w:ind w:firstLine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为公平、公正、科学地遴选运营服务单位，本次遴选采用综合评议法。评审小组将严格依据以下客观标准，对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运营单位</w:t>
      </w:r>
      <w:r>
        <w:rPr>
          <w:rFonts w:hint="eastAsia" w:ascii="华文仿宋" w:hAnsi="华文仿宋" w:eastAsia="华文仿宋" w:cs="华文仿宋"/>
          <w:sz w:val="32"/>
          <w:szCs w:val="32"/>
        </w:rPr>
        <w:t>提交的响应文件及可核验的证明材料进行评审打分，总分100分。</w:t>
      </w:r>
    </w:p>
    <w:p w14:paraId="35E196E5">
      <w:pPr>
        <w:ind w:firstLine="643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 xml:space="preserve">一、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资格要求与门槛条件（否决性条款）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br w:type="textWrapping"/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>此部分为前置审查项，任何一项不符合要求，其响应文件将被视为无效。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12"/>
        <w:gridCol w:w="3549"/>
        <w:gridCol w:w="1869"/>
      </w:tblGrid>
      <w:tr w14:paraId="276C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2" w:type="dxa"/>
            <w:vAlign w:val="center"/>
          </w:tcPr>
          <w:p w14:paraId="781B3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12" w:type="dxa"/>
            <w:vAlign w:val="center"/>
          </w:tcPr>
          <w:p w14:paraId="B2B176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审查项目</w:t>
            </w:r>
          </w:p>
        </w:tc>
        <w:tc>
          <w:tcPr>
            <w:tcW w:w="3549" w:type="dxa"/>
            <w:vAlign w:val="center"/>
          </w:tcPr>
          <w:p w14:paraId="F111D8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强制性要求标准</w:t>
            </w:r>
          </w:p>
        </w:tc>
        <w:tc>
          <w:tcPr>
            <w:tcW w:w="1869" w:type="dxa"/>
            <w:vAlign w:val="center"/>
          </w:tcPr>
          <w:p w14:paraId="AAEA9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审查方式</w:t>
            </w:r>
          </w:p>
        </w:tc>
      </w:tr>
      <w:tr w14:paraId="57E0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 w14:paraId="29E6A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1616DF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法人资质</w:t>
            </w:r>
          </w:p>
        </w:tc>
        <w:tc>
          <w:tcPr>
            <w:tcW w:w="3549" w:type="dxa"/>
            <w:vAlign w:val="center"/>
          </w:tcPr>
          <w:p w14:paraId="CBE0E5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投标人必须是在中华人民共和国境内注册的独立法人，持有有效的营业执照。</w:t>
            </w:r>
          </w:p>
        </w:tc>
        <w:tc>
          <w:tcPr>
            <w:tcW w:w="1869" w:type="dxa"/>
            <w:vAlign w:val="center"/>
          </w:tcPr>
          <w:p w14:paraId="B027AB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提供营业执照副本复印件</w:t>
            </w:r>
          </w:p>
        </w:tc>
      </w:tr>
      <w:tr w14:paraId="E2D6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 w14:paraId="7AE60D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D1B72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履约信用</w:t>
            </w:r>
          </w:p>
        </w:tc>
        <w:tc>
          <w:tcPr>
            <w:tcW w:w="3549" w:type="dxa"/>
            <w:vAlign w:val="center"/>
          </w:tcPr>
          <w:p w14:paraId="1A886A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未被列入“信用中国”网站(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instrText xml:space="preserve"> HYPERLINK "https://www.creditchina.gov.cn/" \t "_blank" </w:instrTex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www.creditchina.gov.cn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)的“失信被执行人”或“重大税收违法失信主体”名单。</w:t>
            </w:r>
          </w:p>
        </w:tc>
        <w:tc>
          <w:tcPr>
            <w:tcW w:w="1869" w:type="dxa"/>
            <w:vAlign w:val="center"/>
          </w:tcPr>
          <w:p w14:paraId="B40FC3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网站查询截图</w:t>
            </w:r>
          </w:p>
        </w:tc>
      </w:tr>
      <w:tr w14:paraId="2D5C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vAlign w:val="center"/>
          </w:tcPr>
          <w:p w14:paraId="AADF07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928E2D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运营质量承诺</w:t>
            </w:r>
          </w:p>
        </w:tc>
        <w:tc>
          <w:tcPr>
            <w:tcW w:w="3549" w:type="dxa"/>
            <w:vAlign w:val="center"/>
          </w:tcPr>
          <w:p w14:paraId="8E7FEA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运营单位须承诺在主管部门指导下，按时保质保量完成产业园运营管理任务，并规范管理。</w:t>
            </w:r>
          </w:p>
        </w:tc>
        <w:tc>
          <w:tcPr>
            <w:tcW w:w="1869" w:type="dxa"/>
            <w:vAlign w:val="center"/>
          </w:tcPr>
          <w:p w14:paraId="DE325C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提供书面承诺函</w:t>
            </w:r>
          </w:p>
        </w:tc>
      </w:tr>
    </w:tbl>
    <w:p w14:paraId="8D0E500A"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20E591C1"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 w14:paraId="BEB31F22"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二、 运营专项评分明细表（满分100分）</w:t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216"/>
        <w:gridCol w:w="976"/>
        <w:gridCol w:w="3143"/>
      </w:tblGrid>
      <w:tr w14:paraId="6EBD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6" w:type="dxa"/>
            <w:vAlign w:val="center"/>
          </w:tcPr>
          <w:p w14:paraId="AB5CE77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评分项</w:t>
            </w:r>
          </w:p>
        </w:tc>
        <w:tc>
          <w:tcPr>
            <w:tcW w:w="3216" w:type="dxa"/>
            <w:vAlign w:val="center"/>
          </w:tcPr>
          <w:p w14:paraId="87866C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评分子项及详细标准</w:t>
            </w:r>
          </w:p>
        </w:tc>
        <w:tc>
          <w:tcPr>
            <w:tcW w:w="976" w:type="dxa"/>
            <w:vAlign w:val="center"/>
          </w:tcPr>
          <w:p w14:paraId="3C512AE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分值</w:t>
            </w:r>
          </w:p>
        </w:tc>
        <w:tc>
          <w:tcPr>
            <w:tcW w:w="3143" w:type="dxa"/>
            <w:vAlign w:val="center"/>
          </w:tcPr>
          <w:p w14:paraId="CC773EE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提供证明材料建议</w:t>
            </w:r>
          </w:p>
        </w:tc>
      </w:tr>
      <w:tr w14:paraId="688D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restart"/>
            <w:vAlign w:val="center"/>
          </w:tcPr>
          <w:p w14:paraId="6CC5066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一、运营综合实力与经验 (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分)</w:t>
            </w:r>
          </w:p>
        </w:tc>
        <w:tc>
          <w:tcPr>
            <w:tcW w:w="3216" w:type="dxa"/>
            <w:vAlign w:val="center"/>
          </w:tcPr>
          <w:p w14:paraId="E1CA5C3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1. 国家级运营资质：每提供一个国家级资质/荣誉，得 10分，本项最高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0分。</w:t>
            </w:r>
          </w:p>
        </w:tc>
        <w:tc>
          <w:tcPr>
            <w:tcW w:w="976" w:type="dxa"/>
            <w:vAlign w:val="center"/>
          </w:tcPr>
          <w:p w14:paraId="30BEA67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10</w:t>
            </w:r>
          </w:p>
        </w:tc>
        <w:tc>
          <w:tcPr>
            <w:tcW w:w="3143" w:type="dxa"/>
            <w:vAlign w:val="center"/>
          </w:tcPr>
          <w:p w14:paraId="52F8626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认定文件、奖状、官网公示截图</w:t>
            </w:r>
          </w:p>
        </w:tc>
      </w:tr>
      <w:tr w14:paraId="0D3C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E6C701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27BBA45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 政府合作深度：与地市级以上人社局、教育局等政府部门有直接合作项目（如共建平台、委托运营）的，每个案例得 10分，本项最高 10分。</w:t>
            </w:r>
          </w:p>
        </w:tc>
        <w:tc>
          <w:tcPr>
            <w:tcW w:w="976" w:type="dxa"/>
            <w:vAlign w:val="center"/>
          </w:tcPr>
          <w:p w14:paraId="762359C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0-10</w:t>
            </w:r>
          </w:p>
        </w:tc>
        <w:tc>
          <w:tcPr>
            <w:tcW w:w="3143" w:type="dxa"/>
            <w:vAlign w:val="center"/>
          </w:tcPr>
          <w:p w14:paraId="B2F7A63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合同、协议、官方新闻报导</w:t>
            </w:r>
          </w:p>
        </w:tc>
      </w:tr>
      <w:tr w14:paraId="6DA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B51A651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B8898A2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EEE0C6E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20</w:t>
            </w:r>
          </w:p>
        </w:tc>
        <w:tc>
          <w:tcPr>
            <w:tcW w:w="3143" w:type="dxa"/>
            <w:vAlign w:val="center"/>
          </w:tcPr>
          <w:p w14:paraId="CD0E025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F967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restart"/>
            <w:vAlign w:val="center"/>
          </w:tcPr>
          <w:p w14:paraId="9812741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二、产业园运营实操业绩 (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分)</w:t>
            </w:r>
          </w:p>
        </w:tc>
        <w:tc>
          <w:tcPr>
            <w:tcW w:w="3216" w:type="dxa"/>
            <w:vAlign w:val="center"/>
          </w:tcPr>
          <w:p w14:paraId="DF08919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1. 运营项目数量与质量：每提供一个政府、事业单位或企业委托的运营管理服务业绩（须提供合同证明），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- 根据项目规模、创新性及影响力综合评定，每个项目最高得 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分。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本项最高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分。</w:t>
            </w:r>
          </w:p>
        </w:tc>
        <w:tc>
          <w:tcPr>
            <w:tcW w:w="976" w:type="dxa"/>
            <w:vAlign w:val="center"/>
          </w:tcPr>
          <w:p w14:paraId="F53D58C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10</w:t>
            </w:r>
          </w:p>
        </w:tc>
        <w:tc>
          <w:tcPr>
            <w:tcW w:w="3143" w:type="dxa"/>
            <w:vAlign w:val="center"/>
          </w:tcPr>
          <w:p w14:paraId="25D4DBC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合同关键页（含合同首页、金额页、服务内容页、签字盖章页）</w:t>
            </w:r>
          </w:p>
        </w:tc>
      </w:tr>
      <w:tr w14:paraId="3C7F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075A5F3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46157B6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 品牌活动影响力：每承办一届地市级及以上政府部门主办的职业技能大赛、创新创业大赛、招聘会等大型活动，得 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分，本项最高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分。</w:t>
            </w:r>
          </w:p>
        </w:tc>
        <w:tc>
          <w:tcPr>
            <w:tcW w:w="976" w:type="dxa"/>
            <w:vAlign w:val="center"/>
          </w:tcPr>
          <w:p w14:paraId="AEC8C05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10</w:t>
            </w:r>
          </w:p>
        </w:tc>
        <w:tc>
          <w:tcPr>
            <w:tcW w:w="3143" w:type="dxa"/>
            <w:vAlign w:val="center"/>
          </w:tcPr>
          <w:p w14:paraId="95D2314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委托函、现场照片、新闻报道等</w:t>
            </w:r>
          </w:p>
        </w:tc>
      </w:tr>
      <w:tr w14:paraId="169A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CDA78A4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480E75A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FC773ED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20</w:t>
            </w:r>
          </w:p>
        </w:tc>
        <w:tc>
          <w:tcPr>
            <w:tcW w:w="3143" w:type="dxa"/>
            <w:vAlign w:val="center"/>
          </w:tcPr>
          <w:p w14:paraId="B5D4E93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E6B5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restart"/>
            <w:vAlign w:val="center"/>
          </w:tcPr>
          <w:p w14:paraId="51636BD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、服务与保障 (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分)</w:t>
            </w:r>
          </w:p>
        </w:tc>
        <w:tc>
          <w:tcPr>
            <w:tcW w:w="3216" w:type="dxa"/>
            <w:vAlign w:val="center"/>
          </w:tcPr>
          <w:p w14:paraId="BFA044B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1. 长效服务机制：设立专职运营团队常驻产业园，提供日常接待、咨询、活动组织等服务，机制完善得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30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分，有描述但不够具体得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无描述或不符合运营要求得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。</w:t>
            </w:r>
          </w:p>
        </w:tc>
        <w:tc>
          <w:tcPr>
            <w:tcW w:w="976" w:type="dxa"/>
            <w:vAlign w:val="center"/>
          </w:tcPr>
          <w:p w14:paraId="C03B60B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4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143" w:type="dxa"/>
            <w:vAlign w:val="center"/>
          </w:tcPr>
          <w:p w14:paraId="6502D68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组织工作方案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、驻场承诺书</w:t>
            </w:r>
          </w:p>
        </w:tc>
      </w:tr>
      <w:tr w14:paraId="7BA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12A115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8CD966E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2. 应急承诺：承诺运营模式和服务产品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能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快速响应突发需求，承诺明确得 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分。</w:t>
            </w:r>
          </w:p>
        </w:tc>
        <w:tc>
          <w:tcPr>
            <w:tcW w:w="976" w:type="dxa"/>
            <w:vAlign w:val="center"/>
          </w:tcPr>
          <w:p w14:paraId="E58244A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0-</w:t>
            </w:r>
            <w:r>
              <w:rPr>
                <w:rFonts w:hint="default" w:hAnsi="华文仿宋" w:eastAsia="华文仿宋" w:cs="华文仿宋"/>
                <w:sz w:val="32"/>
                <w:szCs w:val="32"/>
                <w:lang w:val="en-US"/>
              </w:rPr>
              <w:t>20</w:t>
            </w:r>
          </w:p>
        </w:tc>
        <w:tc>
          <w:tcPr>
            <w:tcW w:w="3143" w:type="dxa"/>
            <w:vAlign w:val="center"/>
          </w:tcPr>
          <w:p w14:paraId="BDE9BFF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承诺书</w:t>
            </w:r>
          </w:p>
        </w:tc>
      </w:tr>
      <w:tr w14:paraId="B16C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6" w:type="dxa"/>
            <w:vMerge w:val="continue"/>
            <w:vAlign w:val="center"/>
          </w:tcPr>
          <w:p w14:paraId="89A5255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14:paraId="CB06DED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F965C5D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default" w:hAnsi="华文仿宋" w:eastAsia="华文仿宋" w:cs="华文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43" w:type="dxa"/>
            <w:vAlign w:val="center"/>
          </w:tcPr>
          <w:p w14:paraId="00B119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 w14:paraId="33715F61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E637EABB">
      <w:pPr>
        <w:ind w:firstLine="643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总计：100分</w:t>
      </w:r>
    </w:p>
    <w:p w14:paraId="01F714B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D997C627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DC6AA4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DC6AA4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52753"/>
    <w:rsid w:val="431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2026-01-16T01:28:00Z</dcterms:created>
  <dc:creator>巷末</dc:creator>
  <cp:lastModifiedBy>巷末</cp:lastModifiedBy>
  <dcterms:modified xsi:type="dcterms:W3CDTF">2026-01-16T01:28:30Z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2E159CA56E1A44B7A4F656C12EA9B023_11</vt:lpwstr>
  </property>
  <property fmtid="{D5CDD505-2E9C-101B-9397-08002B2CF9AE}" pid="4" name="KSOTemplateDocerSaveRecord">
    <vt:lpwstr>eyJoZGlkIjoiZDNhNDBjMGYzMjFkNWUyNGI4Y2QxMDUyMjU3M2VkNzMiLCJ1c2VySWQiOiI1ODI5NzU0ODkifQ==</vt:lpwstr>
  </property>
</Properties>
</file>