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val="0"/>
        <w:shd w:val="clear" w:color="auto" w:fill="auto"/>
        <w:bidi w:val="0"/>
        <w:spacing w:before="0" w:after="0" w:line="560" w:lineRule="exact"/>
        <w:ind w:left="0" w:leftChars="0" w:right="0" w:firstLine="0" w:firstLineChars="0"/>
        <w:jc w:val="center"/>
        <w:rPr>
          <w:rFonts w:hint="eastAsia" w:ascii="方正小标宋_GBK" w:hAnsi="方正小标宋_GBK" w:eastAsia="方正小标宋_GBK" w:cs="方正小标宋_GBK"/>
          <w:b w:val="0"/>
          <w:bCs w:val="0"/>
          <w:color w:val="auto"/>
          <w:spacing w:val="0"/>
          <w:w w:val="100"/>
          <w:position w:val="0"/>
          <w:sz w:val="44"/>
          <w:szCs w:val="44"/>
          <w:shd w:val="clear" w:color="auto" w:fill="auto"/>
          <w:lang w:val="en-US" w:eastAsia="zh-CN"/>
        </w:rPr>
      </w:pPr>
      <w:r>
        <w:rPr>
          <w:rFonts w:hint="eastAsia" w:ascii="方正小标宋_GBK" w:hAnsi="方正小标宋_GBK" w:eastAsia="方正小标宋_GBK" w:cs="方正小标宋_GBK"/>
          <w:b w:val="0"/>
          <w:bCs w:val="0"/>
          <w:color w:val="auto"/>
          <w:spacing w:val="0"/>
          <w:w w:val="100"/>
          <w:position w:val="0"/>
          <w:sz w:val="44"/>
          <w:szCs w:val="44"/>
          <w:shd w:val="clear" w:color="auto" w:fill="auto"/>
          <w:lang w:val="en-US" w:eastAsia="zh-CN"/>
        </w:rPr>
        <w:t>连州市</w:t>
      </w:r>
      <w:r>
        <w:rPr>
          <w:rFonts w:hint="eastAsia" w:ascii="方正小标宋_GBK" w:hAnsi="方正小标宋_GBK" w:eastAsia="方正小标宋_GBK" w:cs="方正小标宋_GBK"/>
          <w:b w:val="0"/>
          <w:bCs w:val="0"/>
          <w:color w:val="auto"/>
          <w:spacing w:val="0"/>
          <w:w w:val="100"/>
          <w:position w:val="0"/>
          <w:sz w:val="44"/>
          <w:szCs w:val="44"/>
          <w:shd w:val="clear" w:color="auto" w:fill="auto"/>
        </w:rPr>
        <w:t>工程建设项目砂石资源</w:t>
      </w:r>
      <w:r>
        <w:rPr>
          <w:rFonts w:hint="eastAsia" w:ascii="方正小标宋_GBK" w:hAnsi="方正小标宋_GBK" w:eastAsia="方正小标宋_GBK" w:cs="方正小标宋_GBK"/>
          <w:b w:val="0"/>
          <w:bCs w:val="0"/>
          <w:color w:val="auto"/>
          <w:spacing w:val="0"/>
          <w:w w:val="100"/>
          <w:position w:val="0"/>
          <w:sz w:val="44"/>
          <w:szCs w:val="44"/>
          <w:shd w:val="clear" w:color="auto" w:fill="auto"/>
          <w:lang w:val="en-US" w:eastAsia="zh-CN"/>
        </w:rPr>
        <w:t>管理办法</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center"/>
        <w:textAlignment w:val="auto"/>
        <w:rPr>
          <w:rFonts w:hint="eastAsia" w:ascii="仿宋_GB2312" w:hAnsi="仿宋_GB2312" w:eastAsia="仿宋_GB2312" w:cs="仿宋_GB2312"/>
          <w:color w:val="auto"/>
          <w:spacing w:val="0"/>
          <w:w w:val="100"/>
          <w:position w:val="0"/>
          <w:sz w:val="32"/>
          <w:szCs w:val="32"/>
          <w:shd w:val="clear" w:color="auto" w:fill="auto"/>
          <w:lang w:val="en-US" w:eastAsia="zh-CN"/>
        </w:rPr>
      </w:pPr>
      <w:r>
        <w:rPr>
          <w:rFonts w:hint="eastAsia" w:ascii="仿宋_GB2312" w:hAnsi="仿宋_GB2312" w:eastAsia="仿宋_GB2312" w:cs="仿宋_GB2312"/>
          <w:color w:val="auto"/>
          <w:spacing w:val="0"/>
          <w:w w:val="100"/>
          <w:position w:val="0"/>
          <w:sz w:val="32"/>
          <w:szCs w:val="32"/>
          <w:shd w:val="clear" w:color="auto" w:fill="auto"/>
          <w:lang w:val="en-US" w:eastAsia="zh-CN"/>
        </w:rPr>
        <w:t>（二次征求意见稿）</w:t>
      </w:r>
    </w:p>
    <w:p>
      <w:pPr>
        <w:pStyle w:val="11"/>
        <w:keepNext w:val="0"/>
        <w:keepLines w:val="0"/>
        <w:widowControl w:val="0"/>
        <w:shd w:val="clear" w:color="auto" w:fill="auto"/>
        <w:bidi w:val="0"/>
        <w:spacing w:before="0" w:after="0" w:line="560" w:lineRule="exact"/>
        <w:ind w:left="0" w:right="0" w:firstLine="660"/>
        <w:jc w:val="both"/>
        <w:rPr>
          <w:rFonts w:hint="eastAsia" w:ascii="仿宋_GB2312" w:hAnsi="仿宋_GB2312" w:eastAsia="仿宋_GB2312" w:cs="仿宋_GB2312"/>
          <w:b/>
          <w:bCs/>
          <w:color w:val="auto"/>
          <w:spacing w:val="0"/>
          <w:w w:val="100"/>
          <w:position w:val="0"/>
          <w:sz w:val="32"/>
          <w:szCs w:val="32"/>
          <w:shd w:val="clear" w:color="auto" w:fill="auto"/>
        </w:rPr>
      </w:pP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第一条 </w:t>
      </w:r>
      <w:r>
        <w:rPr>
          <w:rFonts w:hint="eastAsia" w:ascii="仿宋_GB2312" w:hAnsi="仿宋_GB2312" w:eastAsia="仿宋_GB2312" w:cs="仿宋_GB2312"/>
          <w:b/>
          <w:bCs/>
          <w:color w:val="auto"/>
          <w:spacing w:val="0"/>
          <w:w w:val="100"/>
          <w:position w:val="0"/>
          <w:sz w:val="32"/>
          <w:szCs w:val="32"/>
          <w:shd w:val="clear" w:color="auto" w:fill="auto"/>
          <w:lang w:eastAsia="zh-CN"/>
        </w:rPr>
        <w:t>总则</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position w:val="0"/>
          <w:sz w:val="32"/>
          <w:szCs w:val="32"/>
          <w:shd w:val="clear" w:color="auto" w:fill="auto"/>
        </w:rPr>
        <w:t>为进一步规范工程建设项目范围内砂石资源管理，防止砂石等国有资源流失，强化行业依法治理，建立砂石资源可持续开发利用长效机制，促进</w:t>
      </w:r>
      <w:r>
        <w:rPr>
          <w:rFonts w:hint="eastAsia" w:ascii="仿宋_GB2312" w:hAnsi="仿宋_GB2312" w:eastAsia="仿宋_GB2312" w:cs="仿宋_GB2312"/>
          <w:color w:val="auto"/>
          <w:spacing w:val="0"/>
          <w:w w:val="100"/>
          <w:position w:val="0"/>
          <w:sz w:val="32"/>
          <w:szCs w:val="32"/>
          <w:shd w:val="clear" w:color="auto" w:fill="auto"/>
          <w:lang w:eastAsia="zh-CN"/>
        </w:rPr>
        <w:t>我市</w:t>
      </w:r>
      <w:r>
        <w:rPr>
          <w:rFonts w:hint="eastAsia" w:ascii="仿宋_GB2312" w:hAnsi="仿宋_GB2312" w:eastAsia="仿宋_GB2312" w:cs="仿宋_GB2312"/>
          <w:color w:val="auto"/>
          <w:spacing w:val="0"/>
          <w:w w:val="100"/>
          <w:position w:val="0"/>
          <w:sz w:val="32"/>
          <w:szCs w:val="32"/>
          <w:shd w:val="clear" w:color="auto" w:fill="auto"/>
        </w:rPr>
        <w:t>经济和社会健康、有序发展。根据《中华人民共和国土地管理法》《中华人民共和国矿产资源法》《中华人民共和国矿产资源法实施细则》《广东省矿产资源管理条例》</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2020年十五部委联合发文《关于促进砂石行业健康有序发展的指导意见》《土地复垦条例》《广东省自然资源厅关于加强我省建筑石料资源保障工作的通知》（粤自然资规字〔2020〕8号）《广东省自然资源厅印发关于深化矿产资源管理改革有关政策指引的通知》（粤自然资矿管〔2023〕2220号）</w:t>
      </w:r>
      <w:r>
        <w:rPr>
          <w:rFonts w:hint="eastAsia" w:ascii="仿宋_GB2312" w:hAnsi="仿宋_GB2312" w:eastAsia="仿宋_GB2312" w:cs="仿宋_GB2312"/>
          <w:color w:val="auto"/>
          <w:spacing w:val="0"/>
          <w:w w:val="100"/>
          <w:position w:val="0"/>
          <w:sz w:val="32"/>
          <w:szCs w:val="32"/>
          <w:shd w:val="clear" w:color="auto" w:fill="auto"/>
          <w:lang w:val="en-US" w:eastAsia="zh-CN"/>
        </w:rPr>
        <w:t>《清远市自然资源局关于进一步规范工程建设项目采挖砂石土处置管理工作的通知》</w:t>
      </w:r>
      <w:r>
        <w:rPr>
          <w:rFonts w:hint="eastAsia" w:ascii="仿宋_GB2312" w:hAnsi="仿宋_GB2312" w:eastAsia="仿宋_GB2312" w:cs="仿宋_GB2312"/>
          <w:color w:val="auto"/>
          <w:spacing w:val="0"/>
          <w:w w:val="100"/>
          <w:position w:val="0"/>
          <w:sz w:val="32"/>
          <w:szCs w:val="32"/>
          <w:shd w:val="clear" w:color="auto" w:fill="auto"/>
        </w:rPr>
        <w:t>等法律法规及政策，结合我</w:t>
      </w:r>
      <w:r>
        <w:rPr>
          <w:rFonts w:hint="eastAsia" w:ascii="仿宋_GB2312" w:hAnsi="仿宋_GB2312" w:eastAsia="仿宋_GB2312" w:cs="仿宋_GB2312"/>
          <w:color w:val="auto"/>
          <w:spacing w:val="0"/>
          <w:w w:val="100"/>
          <w:position w:val="0"/>
          <w:sz w:val="32"/>
          <w:szCs w:val="32"/>
          <w:shd w:val="clear" w:color="auto" w:fill="auto"/>
          <w:lang w:val="en-US" w:eastAsia="zh-CN"/>
        </w:rPr>
        <w:t>市</w:t>
      </w:r>
      <w:r>
        <w:rPr>
          <w:rFonts w:hint="eastAsia" w:ascii="仿宋_GB2312" w:hAnsi="仿宋_GB2312" w:eastAsia="仿宋_GB2312" w:cs="仿宋_GB2312"/>
          <w:color w:val="auto"/>
          <w:spacing w:val="0"/>
          <w:w w:val="100"/>
          <w:position w:val="0"/>
          <w:sz w:val="32"/>
          <w:szCs w:val="32"/>
          <w:shd w:val="clear" w:color="auto" w:fill="auto"/>
        </w:rPr>
        <w:t>实际，制定本</w:t>
      </w:r>
      <w:r>
        <w:rPr>
          <w:rFonts w:hint="eastAsia" w:ascii="仿宋_GB2312" w:hAnsi="仿宋_GB2312" w:eastAsia="仿宋_GB2312" w:cs="仿宋_GB2312"/>
          <w:color w:val="auto"/>
          <w:spacing w:val="0"/>
          <w:w w:val="100"/>
          <w:position w:val="0"/>
          <w:sz w:val="32"/>
          <w:szCs w:val="32"/>
          <w:shd w:val="clear" w:color="auto" w:fill="auto"/>
          <w:lang w:val="en-US" w:eastAsia="zh-CN"/>
        </w:rPr>
        <w:t>办法</w:t>
      </w:r>
      <w:r>
        <w:rPr>
          <w:rFonts w:hint="eastAsia" w:ascii="仿宋_GB2312" w:hAnsi="仿宋_GB2312" w:eastAsia="仿宋_GB2312" w:cs="仿宋_GB2312"/>
          <w:color w:val="auto"/>
          <w:spacing w:val="0"/>
          <w:w w:val="100"/>
          <w:position w:val="0"/>
          <w:sz w:val="32"/>
          <w:szCs w:val="32"/>
          <w:shd w:val="clear" w:color="auto" w:fill="auto"/>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第二条 </w:t>
      </w:r>
      <w:r>
        <w:rPr>
          <w:rFonts w:hint="eastAsia" w:ascii="仿宋_GB2312" w:hAnsi="仿宋_GB2312" w:eastAsia="仿宋_GB2312" w:cs="仿宋_GB2312"/>
          <w:b/>
          <w:bCs/>
          <w:color w:val="auto"/>
          <w:spacing w:val="0"/>
          <w:w w:val="100"/>
          <w:position w:val="0"/>
          <w:sz w:val="32"/>
          <w:szCs w:val="32"/>
          <w:shd w:val="clear" w:color="auto" w:fill="auto"/>
          <w:lang w:eastAsia="zh-CN"/>
        </w:rPr>
        <w:t>适用范围及定义</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w w:val="100"/>
          <w:position w:val="0"/>
          <w:sz w:val="32"/>
          <w:szCs w:val="32"/>
          <w:shd w:val="clear" w:color="auto" w:fill="auto"/>
        </w:rPr>
        <w:t>本办法所称工程建设项目砂石土</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是指全</w:t>
      </w:r>
      <w:r>
        <w:rPr>
          <w:rFonts w:hint="eastAsia" w:ascii="仿宋_GB2312" w:hAnsi="仿宋_GB2312" w:eastAsia="仿宋_GB2312" w:cs="仿宋_GB2312"/>
          <w:color w:val="auto"/>
          <w:spacing w:val="0"/>
          <w:w w:val="100"/>
          <w:position w:val="0"/>
          <w:sz w:val="32"/>
          <w:szCs w:val="32"/>
          <w:shd w:val="clear" w:color="auto" w:fill="auto"/>
          <w:lang w:val="en-US" w:eastAsia="zh-CN"/>
        </w:rPr>
        <w:t>市</w:t>
      </w:r>
      <w:r>
        <w:rPr>
          <w:rFonts w:hint="eastAsia" w:ascii="仿宋_GB2312" w:hAnsi="仿宋_GB2312" w:eastAsia="仿宋_GB2312" w:cs="仿宋_GB2312"/>
          <w:color w:val="auto"/>
          <w:spacing w:val="0"/>
          <w:w w:val="100"/>
          <w:position w:val="0"/>
          <w:sz w:val="32"/>
          <w:szCs w:val="32"/>
          <w:shd w:val="clear" w:color="auto" w:fill="auto"/>
        </w:rPr>
        <w:t>经批准建设的各类工程项目（包括：土地整治、设施农业用地、临时取土区、收储用地、地质灾害防治工程治理、应急抢险排险、建筑工程、交通基础设施工程、河道疏浚工程、县级以上地方人民政府组织实施</w:t>
      </w:r>
      <w:r>
        <w:rPr>
          <w:rFonts w:hint="eastAsia" w:ascii="仿宋_GB2312" w:hAnsi="仿宋_GB2312" w:eastAsia="仿宋_GB2312" w:cs="仿宋_GB2312"/>
          <w:color w:val="auto"/>
          <w:spacing w:val="0"/>
          <w:w w:val="100"/>
          <w:position w:val="0"/>
          <w:sz w:val="32"/>
          <w:szCs w:val="32"/>
          <w:shd w:val="clear" w:color="auto" w:fill="auto"/>
          <w:lang w:val="en-US" w:eastAsia="zh-CN"/>
        </w:rPr>
        <w:t>或</w:t>
      </w:r>
      <w:r>
        <w:rPr>
          <w:rFonts w:hint="eastAsia" w:ascii="仿宋_GB2312" w:hAnsi="仿宋_GB2312" w:eastAsia="仿宋_GB2312" w:cs="仿宋_GB2312"/>
          <w:color w:val="auto"/>
          <w:spacing w:val="0"/>
          <w:w w:val="100"/>
          <w:position w:val="0"/>
          <w:sz w:val="32"/>
          <w:szCs w:val="32"/>
          <w:shd w:val="clear" w:color="auto" w:fill="auto"/>
        </w:rPr>
        <w:t>责任人灭失的历史遗留露天开采类矿山生态修复项目等），在工程合法用地范围及施工期间采挖的除工程建设项目自用外剩余的砂石土，以及自然资源部门和有关行政主管部门在执法过程中依法处置的砂石土。</w:t>
      </w:r>
      <w:r>
        <w:rPr>
          <w:rFonts w:hint="eastAsia" w:ascii="仿宋_GB2312" w:hAnsi="仿宋_GB2312" w:eastAsia="仿宋_GB2312" w:cs="仿宋_GB2312"/>
          <w:color w:val="auto"/>
          <w:spacing w:val="0"/>
          <w:w w:val="100"/>
          <w:position w:val="0"/>
          <w:sz w:val="32"/>
          <w:szCs w:val="32"/>
          <w:shd w:val="clear" w:color="auto" w:fill="auto"/>
          <w:lang w:eastAsia="zh-CN"/>
        </w:rPr>
        <w:t>砂石土资源属国家所有，不因其所依附的土地所有权或者使用权的不同而改变。</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w w:val="100"/>
          <w:position w:val="0"/>
          <w:sz w:val="32"/>
          <w:szCs w:val="32"/>
          <w:shd w:val="clear" w:color="auto" w:fill="auto"/>
        </w:rPr>
        <w:t>工程施工范围</w:t>
      </w:r>
      <w:r>
        <w:rPr>
          <w:rFonts w:hint="eastAsia" w:ascii="仿宋_GB2312" w:hAnsi="仿宋_GB2312" w:eastAsia="仿宋_GB2312" w:cs="仿宋_GB2312"/>
          <w:color w:val="auto"/>
          <w:spacing w:val="0"/>
          <w:w w:val="100"/>
          <w:position w:val="0"/>
          <w:sz w:val="32"/>
          <w:szCs w:val="32"/>
          <w:shd w:val="clear" w:color="auto" w:fill="auto"/>
          <w:lang w:eastAsia="zh-CN"/>
        </w:rPr>
        <w:t>界定为</w:t>
      </w:r>
      <w:r>
        <w:rPr>
          <w:rFonts w:hint="eastAsia" w:ascii="仿宋_GB2312" w:hAnsi="仿宋_GB2312" w:eastAsia="仿宋_GB2312" w:cs="仿宋_GB2312"/>
          <w:color w:val="auto"/>
          <w:spacing w:val="0"/>
          <w:w w:val="100"/>
          <w:position w:val="0"/>
          <w:sz w:val="32"/>
          <w:szCs w:val="32"/>
          <w:shd w:val="clear" w:color="auto" w:fill="auto"/>
        </w:rPr>
        <w:t>：自然资源部门批准的建设项目用地（不含临时用地）范围内；经有</w:t>
      </w:r>
      <w:r>
        <w:rPr>
          <w:rFonts w:hint="eastAsia" w:ascii="仿宋_GB2312" w:hAnsi="仿宋_GB2312" w:eastAsia="仿宋_GB2312" w:cs="仿宋_GB2312"/>
          <w:color w:val="auto"/>
          <w:spacing w:val="0"/>
          <w:w w:val="100"/>
          <w:position w:val="0"/>
          <w:sz w:val="32"/>
          <w:szCs w:val="32"/>
          <w:shd w:val="clear" w:color="auto" w:fill="auto"/>
          <w:lang w:val="en-US" w:eastAsia="zh-CN"/>
        </w:rPr>
        <w:t>权审批</w:t>
      </w:r>
      <w:r>
        <w:rPr>
          <w:rFonts w:hint="eastAsia" w:ascii="仿宋_GB2312" w:hAnsi="仿宋_GB2312" w:eastAsia="仿宋_GB2312" w:cs="仿宋_GB2312"/>
          <w:color w:val="auto"/>
          <w:spacing w:val="0"/>
          <w:w w:val="100"/>
          <w:position w:val="0"/>
          <w:sz w:val="32"/>
          <w:szCs w:val="32"/>
          <w:shd w:val="clear" w:color="auto" w:fill="auto"/>
        </w:rPr>
        <w:t>部门批准的项目</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为批准的施工方案明确的施工范围</w:t>
      </w:r>
      <w:r>
        <w:rPr>
          <w:rFonts w:hint="eastAsia" w:ascii="仿宋_GB2312" w:hAnsi="仿宋_GB2312" w:eastAsia="仿宋_GB2312" w:cs="仿宋_GB2312"/>
          <w:color w:val="auto"/>
          <w:spacing w:val="0"/>
          <w:w w:val="100"/>
          <w:position w:val="0"/>
          <w:sz w:val="32"/>
          <w:szCs w:val="32"/>
          <w:shd w:val="clear" w:color="auto" w:fill="auto"/>
          <w:lang w:eastAsia="zh-CN"/>
        </w:rPr>
        <w:t>，严禁擅自扩大施工范围采挖砂石土。</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position w:val="0"/>
          <w:sz w:val="32"/>
          <w:szCs w:val="32"/>
          <w:shd w:val="clear" w:color="auto" w:fill="auto"/>
        </w:rPr>
        <w:t>施工期间</w:t>
      </w:r>
      <w:r>
        <w:rPr>
          <w:rFonts w:hint="eastAsia" w:ascii="仿宋_GB2312" w:hAnsi="仿宋_GB2312" w:eastAsia="仿宋_GB2312" w:cs="仿宋_GB2312"/>
          <w:color w:val="auto"/>
          <w:spacing w:val="0"/>
          <w:w w:val="100"/>
          <w:position w:val="0"/>
          <w:sz w:val="32"/>
          <w:szCs w:val="32"/>
          <w:shd w:val="clear" w:color="auto" w:fill="auto"/>
          <w:lang w:eastAsia="zh-CN"/>
        </w:rPr>
        <w:t>界定为</w:t>
      </w:r>
      <w:r>
        <w:rPr>
          <w:rFonts w:hint="eastAsia" w:ascii="仿宋_GB2312" w:hAnsi="仿宋_GB2312" w:eastAsia="仿宋_GB2312" w:cs="仿宋_GB2312"/>
          <w:color w:val="auto"/>
          <w:spacing w:val="0"/>
          <w:w w:val="100"/>
          <w:position w:val="0"/>
          <w:sz w:val="32"/>
          <w:szCs w:val="32"/>
          <w:shd w:val="clear" w:color="auto" w:fill="auto"/>
        </w:rPr>
        <w:t>：自然资源部门批准的建设项目用地手续有效期内；经有权审批部门批准的项目</w:t>
      </w:r>
      <w:r>
        <w:rPr>
          <w:rFonts w:hint="eastAsia" w:ascii="仿宋_GB2312" w:hAnsi="仿宋_GB2312" w:eastAsia="仿宋_GB2312" w:cs="仿宋_GB2312"/>
          <w:color w:val="auto"/>
          <w:spacing w:val="0"/>
          <w:w w:val="100"/>
          <w:position w:val="0"/>
          <w:sz w:val="32"/>
          <w:szCs w:val="32"/>
          <w:shd w:val="clear" w:color="auto" w:fill="auto"/>
          <w:lang w:val="en-US" w:eastAsia="zh-CN"/>
        </w:rPr>
        <w:t>，</w:t>
      </w:r>
      <w:r>
        <w:rPr>
          <w:rFonts w:hint="eastAsia" w:ascii="仿宋_GB2312" w:hAnsi="仿宋_GB2312" w:eastAsia="仿宋_GB2312" w:cs="仿宋_GB2312"/>
          <w:color w:val="auto"/>
          <w:spacing w:val="0"/>
          <w:w w:val="100"/>
          <w:position w:val="0"/>
          <w:sz w:val="32"/>
          <w:szCs w:val="32"/>
          <w:shd w:val="clear" w:color="auto" w:fill="auto"/>
        </w:rPr>
        <w:t>不超过批准的施工方案明确的施工时间</w:t>
      </w:r>
      <w:r>
        <w:rPr>
          <w:rFonts w:hint="eastAsia" w:ascii="仿宋_GB2312" w:hAnsi="仿宋_GB2312" w:eastAsia="仿宋_GB2312" w:cs="仿宋_GB2312"/>
          <w:color w:val="auto"/>
          <w:spacing w:val="0"/>
          <w:w w:val="100"/>
          <w:position w:val="0"/>
          <w:sz w:val="32"/>
          <w:szCs w:val="32"/>
          <w:shd w:val="clear" w:color="auto" w:fill="auto"/>
          <w:lang w:val="en-US" w:eastAsia="zh-CN"/>
        </w:rPr>
        <w:t>，</w:t>
      </w:r>
      <w:r>
        <w:rPr>
          <w:rFonts w:hint="eastAsia" w:ascii="仿宋_GB2312" w:hAnsi="仿宋_GB2312" w:eastAsia="仿宋_GB2312" w:cs="仿宋_GB2312"/>
          <w:color w:val="auto"/>
          <w:spacing w:val="0"/>
          <w:w w:val="100"/>
          <w:position w:val="0"/>
          <w:sz w:val="32"/>
          <w:szCs w:val="32"/>
          <w:highlight w:val="none"/>
          <w:shd w:val="clear" w:color="auto" w:fill="auto"/>
        </w:rPr>
        <w:t>一般不超过</w:t>
      </w:r>
      <w:r>
        <w:rPr>
          <w:rFonts w:hint="eastAsia" w:ascii="仿宋_GB2312" w:hAnsi="仿宋_GB2312" w:eastAsia="仿宋_GB2312" w:cs="仿宋_GB2312"/>
          <w:color w:val="auto"/>
          <w:spacing w:val="0"/>
          <w:w w:val="100"/>
          <w:position w:val="0"/>
          <w:sz w:val="32"/>
          <w:szCs w:val="32"/>
          <w:highlight w:val="none"/>
          <w:shd w:val="clear" w:color="auto" w:fill="auto"/>
          <w:lang w:val="en-US" w:eastAsia="zh-CN"/>
        </w:rPr>
        <w:t>3</w:t>
      </w:r>
      <w:r>
        <w:rPr>
          <w:rFonts w:hint="eastAsia" w:ascii="仿宋_GB2312" w:hAnsi="仿宋_GB2312" w:eastAsia="仿宋_GB2312" w:cs="仿宋_GB2312"/>
          <w:color w:val="auto"/>
          <w:spacing w:val="0"/>
          <w:w w:val="100"/>
          <w:position w:val="0"/>
          <w:sz w:val="32"/>
          <w:szCs w:val="32"/>
          <w:highlight w:val="none"/>
          <w:shd w:val="clear" w:color="auto" w:fill="auto"/>
        </w:rPr>
        <w:t>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第三条 </w:t>
      </w:r>
      <w:r>
        <w:rPr>
          <w:rFonts w:hint="eastAsia" w:ascii="仿宋_GB2312" w:hAnsi="仿宋_GB2312" w:eastAsia="仿宋_GB2312" w:cs="仿宋_GB2312"/>
          <w:b/>
          <w:bCs/>
          <w:color w:val="auto"/>
          <w:spacing w:val="0"/>
          <w:w w:val="100"/>
          <w:position w:val="0"/>
          <w:sz w:val="32"/>
          <w:szCs w:val="32"/>
          <w:shd w:val="clear" w:color="auto" w:fill="auto"/>
          <w:lang w:eastAsia="zh-CN"/>
        </w:rPr>
        <w:t>处置申请与实施</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pacing w:val="0"/>
          <w:w w:val="100"/>
          <w:position w:val="0"/>
          <w:sz w:val="32"/>
          <w:szCs w:val="32"/>
          <w:shd w:val="clear" w:color="auto" w:fill="auto"/>
          <w:lang w:eastAsia="zh-CN"/>
        </w:rPr>
      </w:pPr>
      <w:r>
        <w:rPr>
          <w:rFonts w:hint="eastAsia" w:ascii="仿宋_GB2312" w:hAnsi="仿宋_GB2312" w:eastAsia="仿宋_GB2312" w:cs="仿宋_GB2312"/>
          <w:color w:val="auto"/>
          <w:spacing w:val="0"/>
          <w:w w:val="100"/>
          <w:position w:val="0"/>
          <w:sz w:val="32"/>
          <w:szCs w:val="32"/>
          <w:shd w:val="clear" w:color="auto" w:fill="auto"/>
          <w:lang w:eastAsia="zh-CN"/>
        </w:rPr>
        <w:t>砂石土采挖与堆放需严格遵循规范要求，工程建设项目采挖的砂石土应实行集中堆放管理，待工程</w:t>
      </w:r>
      <w:r>
        <w:rPr>
          <w:rFonts w:hint="eastAsia" w:ascii="仿宋_GB2312" w:hAnsi="仿宋_GB2312" w:eastAsia="仿宋_GB2312" w:cs="仿宋_GB2312"/>
          <w:color w:val="auto"/>
          <w:spacing w:val="0"/>
          <w:w w:val="100"/>
          <w:position w:val="0"/>
          <w:sz w:val="32"/>
          <w:szCs w:val="32"/>
          <w:shd w:val="clear" w:color="auto" w:fill="auto"/>
          <w:lang w:val="en-US" w:eastAsia="zh-CN"/>
        </w:rPr>
        <w:t>完成后，统一</w:t>
      </w:r>
      <w:r>
        <w:rPr>
          <w:rFonts w:hint="eastAsia" w:ascii="仿宋_GB2312" w:hAnsi="仿宋_GB2312" w:eastAsia="仿宋_GB2312" w:cs="仿宋_GB2312"/>
          <w:color w:val="auto"/>
          <w:spacing w:val="0"/>
          <w:w w:val="100"/>
          <w:position w:val="0"/>
          <w:sz w:val="32"/>
          <w:szCs w:val="32"/>
          <w:shd w:val="clear" w:color="auto" w:fill="auto"/>
        </w:rPr>
        <w:t>在公共资源交易平台</w:t>
      </w:r>
      <w:r>
        <w:rPr>
          <w:rFonts w:hint="eastAsia" w:ascii="仿宋_GB2312" w:hAnsi="仿宋_GB2312" w:eastAsia="仿宋_GB2312" w:cs="仿宋_GB2312"/>
          <w:color w:val="auto"/>
          <w:spacing w:val="0"/>
          <w:w w:val="100"/>
          <w:position w:val="0"/>
          <w:sz w:val="32"/>
          <w:szCs w:val="32"/>
          <w:shd w:val="clear" w:color="auto" w:fill="auto"/>
          <w:lang w:eastAsia="zh-CN"/>
        </w:rPr>
        <w:t>开展</w:t>
      </w:r>
      <w:r>
        <w:rPr>
          <w:rFonts w:hint="eastAsia" w:ascii="仿宋_GB2312" w:hAnsi="仿宋_GB2312" w:eastAsia="仿宋_GB2312" w:cs="仿宋_GB2312"/>
          <w:color w:val="auto"/>
          <w:spacing w:val="0"/>
          <w:w w:val="100"/>
          <w:position w:val="0"/>
          <w:sz w:val="32"/>
          <w:szCs w:val="32"/>
          <w:shd w:val="clear" w:color="auto" w:fill="auto"/>
        </w:rPr>
        <w:t>公开拍卖</w:t>
      </w:r>
      <w:r>
        <w:rPr>
          <w:rFonts w:hint="eastAsia" w:ascii="仿宋_GB2312" w:hAnsi="仿宋_GB2312" w:eastAsia="仿宋_GB2312" w:cs="仿宋_GB2312"/>
          <w:color w:val="auto"/>
          <w:spacing w:val="0"/>
          <w:w w:val="100"/>
          <w:position w:val="0"/>
          <w:sz w:val="32"/>
          <w:szCs w:val="32"/>
          <w:shd w:val="clear" w:color="auto" w:fill="auto"/>
          <w:lang w:eastAsia="zh-CN"/>
        </w:rPr>
        <w:t>处置。</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pacing w:val="0"/>
          <w:w w:val="100"/>
          <w:position w:val="0"/>
          <w:sz w:val="32"/>
          <w:szCs w:val="32"/>
          <w:shd w:val="clear" w:color="auto" w:fill="auto"/>
          <w:lang w:eastAsia="zh-CN"/>
        </w:rPr>
      </w:pPr>
      <w:r>
        <w:rPr>
          <w:rFonts w:hint="eastAsia" w:ascii="仿宋_GB2312" w:hAnsi="仿宋_GB2312" w:eastAsia="仿宋_GB2312" w:cs="仿宋_GB2312"/>
          <w:color w:val="auto"/>
          <w:spacing w:val="0"/>
          <w:w w:val="100"/>
          <w:position w:val="0"/>
          <w:sz w:val="32"/>
          <w:szCs w:val="32"/>
          <w:shd w:val="clear" w:color="auto" w:fill="auto"/>
          <w:lang w:eastAsia="zh-CN"/>
        </w:rPr>
        <w:t>项目施工前，由项目所在乡镇或批准实施的市直监管部门向</w:t>
      </w:r>
      <w:r>
        <w:rPr>
          <w:rFonts w:hint="eastAsia" w:ascii="仿宋_GB2312" w:hAnsi="仿宋_GB2312" w:eastAsia="仿宋_GB2312" w:cs="仿宋_GB2312"/>
          <w:color w:val="auto"/>
          <w:spacing w:val="0"/>
          <w:w w:val="100"/>
          <w:position w:val="0"/>
          <w:sz w:val="32"/>
          <w:szCs w:val="32"/>
          <w:shd w:val="clear" w:color="auto" w:fill="auto"/>
          <w:lang w:val="en-US" w:eastAsia="zh-CN"/>
        </w:rPr>
        <w:t>连州市矿产资源管理委员会办公室（简称“矿委办”）提交工程砂石土报备材料，明确开挖作业工期、开挖量、堆放场及相应用地</w:t>
      </w:r>
      <w:bookmarkStart w:id="0" w:name="_GoBack"/>
      <w:bookmarkEnd w:id="0"/>
      <w:r>
        <w:rPr>
          <w:rFonts w:hint="eastAsia" w:ascii="仿宋_GB2312" w:hAnsi="仿宋_GB2312" w:eastAsia="仿宋_GB2312" w:cs="仿宋_GB2312"/>
          <w:color w:val="auto"/>
          <w:spacing w:val="0"/>
          <w:w w:val="100"/>
          <w:position w:val="0"/>
          <w:sz w:val="32"/>
          <w:szCs w:val="32"/>
          <w:shd w:val="clear" w:color="auto" w:fill="auto"/>
          <w:lang w:val="en-US" w:eastAsia="zh-CN"/>
        </w:rPr>
        <w:t>用林手续，附</w:t>
      </w:r>
      <w:r>
        <w:rPr>
          <w:rFonts w:hint="eastAsia" w:ascii="仿宋_GB2312" w:hAnsi="仿宋_GB2312" w:eastAsia="仿宋_GB2312" w:cs="仿宋_GB2312"/>
          <w:color w:val="auto"/>
          <w:spacing w:val="0"/>
          <w:w w:val="100"/>
          <w:position w:val="0"/>
          <w:sz w:val="32"/>
          <w:szCs w:val="32"/>
          <w:shd w:val="clear" w:color="auto" w:fill="auto"/>
        </w:rPr>
        <w:t>相关的合法批复材料</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设计方案</w:t>
      </w:r>
      <w:r>
        <w:rPr>
          <w:rFonts w:hint="eastAsia" w:ascii="仿宋_GB2312" w:hAnsi="仿宋_GB2312" w:eastAsia="仿宋_GB2312" w:cs="仿宋_GB2312"/>
          <w:color w:val="auto"/>
          <w:spacing w:val="0"/>
          <w:w w:val="100"/>
          <w:position w:val="0"/>
          <w:sz w:val="32"/>
          <w:szCs w:val="32"/>
          <w:shd w:val="clear" w:color="auto" w:fill="auto"/>
          <w:lang w:eastAsia="zh-CN"/>
        </w:rPr>
        <w:t>、施工方案、及砂石土处置初步方案，矿委办对工程砂石土材料进行审核、批复，同时明确后续负责处置的部门，原则上</w:t>
      </w:r>
      <w:r>
        <w:rPr>
          <w:rFonts w:hint="eastAsia" w:ascii="仿宋_GB2312" w:hAnsi="仿宋_GB2312" w:eastAsia="仿宋_GB2312" w:cs="仿宋_GB2312"/>
          <w:color w:val="auto"/>
          <w:spacing w:val="0"/>
          <w:w w:val="100"/>
          <w:position w:val="0"/>
          <w:sz w:val="32"/>
          <w:szCs w:val="32"/>
          <w:shd w:val="clear" w:color="auto" w:fill="auto"/>
        </w:rPr>
        <w:t>自然资源</w:t>
      </w:r>
      <w:r>
        <w:rPr>
          <w:rFonts w:hint="eastAsia" w:ascii="仿宋_GB2312" w:hAnsi="仿宋_GB2312" w:eastAsia="仿宋_GB2312" w:cs="仿宋_GB2312"/>
          <w:color w:val="auto"/>
          <w:spacing w:val="0"/>
          <w:w w:val="100"/>
          <w:position w:val="0"/>
          <w:sz w:val="32"/>
          <w:szCs w:val="32"/>
          <w:shd w:val="clear" w:color="auto" w:fill="auto"/>
          <w:lang w:eastAsia="zh-CN"/>
        </w:rPr>
        <w:t>部门负责</w:t>
      </w:r>
      <w:r>
        <w:rPr>
          <w:rFonts w:hint="eastAsia" w:ascii="仿宋_GB2312" w:hAnsi="仿宋_GB2312" w:eastAsia="仿宋_GB2312" w:cs="仿宋_GB2312"/>
          <w:color w:val="auto"/>
          <w:spacing w:val="0"/>
          <w:w w:val="100"/>
          <w:position w:val="0"/>
          <w:sz w:val="32"/>
          <w:szCs w:val="32"/>
          <w:shd w:val="clear" w:color="auto" w:fill="auto"/>
        </w:rPr>
        <w:t>处置矿石（尾矿）、</w:t>
      </w:r>
      <w:r>
        <w:rPr>
          <w:rFonts w:hint="eastAsia" w:ascii="仿宋_GB2312" w:hAnsi="仿宋_GB2312" w:eastAsia="仿宋_GB2312" w:cs="仿宋_GB2312"/>
          <w:color w:val="auto"/>
          <w:spacing w:val="0"/>
          <w:w w:val="100"/>
          <w:position w:val="0"/>
          <w:sz w:val="32"/>
          <w:szCs w:val="32"/>
          <w:shd w:val="clear" w:color="auto" w:fill="auto"/>
          <w:lang w:eastAsia="zh-CN"/>
        </w:rPr>
        <w:t>国资部门负责处置</w:t>
      </w:r>
      <w:r>
        <w:rPr>
          <w:rFonts w:hint="eastAsia" w:ascii="仿宋_GB2312" w:hAnsi="仿宋_GB2312" w:eastAsia="仿宋_GB2312" w:cs="仿宋_GB2312"/>
          <w:color w:val="auto"/>
          <w:spacing w:val="0"/>
          <w:w w:val="100"/>
          <w:position w:val="0"/>
          <w:sz w:val="32"/>
          <w:szCs w:val="32"/>
          <w:shd w:val="clear" w:color="auto" w:fill="auto"/>
        </w:rPr>
        <w:t>工程项目</w:t>
      </w:r>
      <w:r>
        <w:rPr>
          <w:rFonts w:hint="eastAsia" w:ascii="仿宋_GB2312" w:hAnsi="仿宋_GB2312" w:eastAsia="仿宋_GB2312" w:cs="仿宋_GB2312"/>
          <w:color w:val="auto"/>
          <w:spacing w:val="0"/>
          <w:w w:val="100"/>
          <w:position w:val="0"/>
          <w:sz w:val="32"/>
          <w:szCs w:val="32"/>
          <w:shd w:val="clear" w:color="auto" w:fill="auto"/>
          <w:lang w:eastAsia="zh-CN"/>
        </w:rPr>
        <w:t>产生的</w:t>
      </w:r>
      <w:r>
        <w:rPr>
          <w:rFonts w:hint="eastAsia" w:ascii="仿宋_GB2312" w:hAnsi="仿宋_GB2312" w:eastAsia="仿宋_GB2312" w:cs="仿宋_GB2312"/>
          <w:color w:val="auto"/>
          <w:spacing w:val="0"/>
          <w:w w:val="100"/>
          <w:position w:val="0"/>
          <w:sz w:val="32"/>
          <w:szCs w:val="32"/>
          <w:shd w:val="clear" w:color="auto" w:fill="auto"/>
        </w:rPr>
        <w:t>砂石土、水利部门</w:t>
      </w:r>
      <w:r>
        <w:rPr>
          <w:rFonts w:hint="eastAsia" w:ascii="仿宋_GB2312" w:hAnsi="仿宋_GB2312" w:eastAsia="仿宋_GB2312" w:cs="仿宋_GB2312"/>
          <w:color w:val="auto"/>
          <w:spacing w:val="0"/>
          <w:w w:val="100"/>
          <w:position w:val="0"/>
          <w:sz w:val="32"/>
          <w:szCs w:val="32"/>
          <w:shd w:val="clear" w:color="auto" w:fill="auto"/>
          <w:lang w:eastAsia="zh-CN"/>
        </w:rPr>
        <w:t>负责</w:t>
      </w:r>
      <w:r>
        <w:rPr>
          <w:rFonts w:hint="eastAsia" w:ascii="仿宋_GB2312" w:hAnsi="仿宋_GB2312" w:eastAsia="仿宋_GB2312" w:cs="仿宋_GB2312"/>
          <w:color w:val="auto"/>
          <w:spacing w:val="0"/>
          <w:w w:val="100"/>
          <w:position w:val="0"/>
          <w:sz w:val="32"/>
          <w:szCs w:val="32"/>
          <w:shd w:val="clear" w:color="auto" w:fill="auto"/>
        </w:rPr>
        <w:t>处置河道</w:t>
      </w:r>
      <w:r>
        <w:rPr>
          <w:rFonts w:hint="eastAsia" w:ascii="仿宋_GB2312" w:hAnsi="仿宋_GB2312" w:eastAsia="仿宋_GB2312" w:cs="仿宋_GB2312"/>
          <w:color w:val="auto"/>
          <w:spacing w:val="0"/>
          <w:w w:val="100"/>
          <w:position w:val="0"/>
          <w:sz w:val="32"/>
          <w:szCs w:val="32"/>
          <w:shd w:val="clear" w:color="auto" w:fill="auto"/>
          <w:lang w:eastAsia="zh-CN"/>
        </w:rPr>
        <w:t>管理</w:t>
      </w:r>
      <w:r>
        <w:rPr>
          <w:rFonts w:hint="eastAsia" w:ascii="仿宋_GB2312" w:hAnsi="仿宋_GB2312" w:eastAsia="仿宋_GB2312" w:cs="仿宋_GB2312"/>
          <w:color w:val="auto"/>
          <w:spacing w:val="0"/>
          <w:w w:val="100"/>
          <w:position w:val="0"/>
          <w:sz w:val="32"/>
          <w:szCs w:val="32"/>
          <w:shd w:val="clear" w:color="auto" w:fill="auto"/>
        </w:rPr>
        <w:t>范围</w:t>
      </w:r>
      <w:r>
        <w:rPr>
          <w:rFonts w:hint="eastAsia" w:ascii="仿宋_GB2312" w:hAnsi="仿宋_GB2312" w:eastAsia="仿宋_GB2312" w:cs="仿宋_GB2312"/>
          <w:color w:val="auto"/>
          <w:spacing w:val="0"/>
          <w:w w:val="100"/>
          <w:position w:val="0"/>
          <w:sz w:val="32"/>
          <w:szCs w:val="32"/>
          <w:shd w:val="clear" w:color="auto" w:fill="auto"/>
          <w:lang w:eastAsia="zh-CN"/>
        </w:rPr>
        <w:t>内的</w:t>
      </w:r>
      <w:r>
        <w:rPr>
          <w:rFonts w:hint="eastAsia" w:ascii="仿宋_GB2312" w:hAnsi="仿宋_GB2312" w:eastAsia="仿宋_GB2312" w:cs="仿宋_GB2312"/>
          <w:color w:val="auto"/>
          <w:spacing w:val="0"/>
          <w:w w:val="100"/>
          <w:position w:val="0"/>
          <w:sz w:val="32"/>
          <w:szCs w:val="32"/>
          <w:shd w:val="clear" w:color="auto" w:fill="auto"/>
        </w:rPr>
        <w:t>砂石</w:t>
      </w:r>
      <w:r>
        <w:rPr>
          <w:rFonts w:hint="eastAsia" w:ascii="仿宋_GB2312" w:hAnsi="仿宋_GB2312" w:eastAsia="仿宋_GB2312" w:cs="仿宋_GB2312"/>
          <w:color w:val="auto"/>
          <w:spacing w:val="0"/>
          <w:w w:val="100"/>
          <w:position w:val="0"/>
          <w:sz w:val="32"/>
          <w:szCs w:val="32"/>
          <w:shd w:val="clear" w:color="auto" w:fill="auto"/>
          <w:lang w:eastAsia="zh-CN"/>
        </w:rPr>
        <w:t>资源，市政府另有指定除外。</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pacing w:val="0"/>
          <w:w w:val="100"/>
          <w:position w:val="0"/>
          <w:sz w:val="32"/>
          <w:szCs w:val="32"/>
          <w:shd w:val="clear" w:color="auto" w:fill="auto"/>
          <w:lang w:eastAsia="zh-CN"/>
        </w:rPr>
      </w:pPr>
      <w:r>
        <w:rPr>
          <w:rFonts w:hint="eastAsia" w:ascii="仿宋_GB2312" w:hAnsi="仿宋_GB2312" w:eastAsia="仿宋_GB2312" w:cs="仿宋_GB2312"/>
          <w:color w:val="auto"/>
          <w:spacing w:val="0"/>
          <w:w w:val="100"/>
          <w:position w:val="0"/>
          <w:sz w:val="32"/>
          <w:szCs w:val="32"/>
          <w:shd w:val="clear" w:color="auto" w:fill="auto"/>
          <w:lang w:eastAsia="zh-CN"/>
        </w:rPr>
        <w:t>工程砂石土开挖作业结束后，开展</w:t>
      </w:r>
      <w:r>
        <w:rPr>
          <w:rFonts w:hint="eastAsia" w:ascii="仿宋_GB2312" w:hAnsi="仿宋_GB2312" w:eastAsia="仿宋_GB2312" w:cs="仿宋_GB2312"/>
          <w:color w:val="auto"/>
          <w:spacing w:val="0"/>
          <w:w w:val="100"/>
          <w:position w:val="0"/>
          <w:sz w:val="32"/>
          <w:szCs w:val="32"/>
          <w:shd w:val="clear" w:color="auto" w:fill="auto"/>
        </w:rPr>
        <w:t>工程建设项目砂石土拍卖处置工作</w:t>
      </w:r>
      <w:r>
        <w:rPr>
          <w:rFonts w:hint="eastAsia" w:ascii="仿宋_GB2312" w:hAnsi="仿宋_GB2312" w:eastAsia="仿宋_GB2312" w:cs="仿宋_GB2312"/>
          <w:color w:val="auto"/>
          <w:spacing w:val="0"/>
          <w:w w:val="100"/>
          <w:position w:val="0"/>
          <w:sz w:val="32"/>
          <w:szCs w:val="32"/>
          <w:shd w:val="clear" w:color="auto" w:fill="auto"/>
          <w:lang w:val="en-US" w:eastAsia="zh-CN"/>
        </w:rPr>
        <w:t>。</w:t>
      </w:r>
      <w:r>
        <w:rPr>
          <w:rFonts w:hint="eastAsia" w:ascii="仿宋_GB2312" w:hAnsi="仿宋_GB2312" w:eastAsia="仿宋_GB2312" w:cs="仿宋_GB2312"/>
          <w:color w:val="auto"/>
          <w:spacing w:val="0"/>
          <w:w w:val="100"/>
          <w:position w:val="0"/>
          <w:sz w:val="32"/>
          <w:szCs w:val="32"/>
          <w:shd w:val="clear" w:color="auto" w:fill="auto"/>
        </w:rPr>
        <w:t>由项目所在地</w:t>
      </w:r>
      <w:r>
        <w:rPr>
          <w:rFonts w:hint="eastAsia" w:ascii="仿宋_GB2312" w:hAnsi="仿宋_GB2312" w:eastAsia="仿宋_GB2312" w:cs="仿宋_GB2312"/>
          <w:color w:val="auto"/>
          <w:spacing w:val="0"/>
          <w:w w:val="100"/>
          <w:position w:val="0"/>
          <w:sz w:val="32"/>
          <w:szCs w:val="32"/>
          <w:shd w:val="clear" w:color="auto" w:fill="auto"/>
          <w:lang w:eastAsia="zh-CN"/>
        </w:rPr>
        <w:t>镇（乡）</w:t>
      </w:r>
      <w:r>
        <w:rPr>
          <w:rFonts w:hint="eastAsia" w:ascii="仿宋_GB2312" w:hAnsi="仿宋_GB2312" w:eastAsia="仿宋_GB2312" w:cs="仿宋_GB2312"/>
          <w:color w:val="auto"/>
          <w:spacing w:val="0"/>
          <w:w w:val="100"/>
          <w:position w:val="0"/>
          <w:sz w:val="32"/>
          <w:szCs w:val="32"/>
          <w:shd w:val="clear" w:color="auto" w:fill="auto"/>
        </w:rPr>
        <w:t>人民政府</w:t>
      </w:r>
      <w:r>
        <w:rPr>
          <w:rFonts w:hint="eastAsia" w:ascii="仿宋_GB2312" w:hAnsi="仿宋_GB2312" w:eastAsia="仿宋_GB2312" w:cs="仿宋_GB2312"/>
          <w:color w:val="auto"/>
          <w:spacing w:val="0"/>
          <w:w w:val="100"/>
          <w:position w:val="0"/>
          <w:sz w:val="32"/>
          <w:szCs w:val="32"/>
          <w:shd w:val="clear" w:color="auto" w:fill="auto"/>
          <w:lang w:eastAsia="zh-CN"/>
        </w:rPr>
        <w:t>或市直监管部门向矿委办前期明确处置的部门移送项目多余砂石土，</w:t>
      </w:r>
      <w:r>
        <w:rPr>
          <w:rFonts w:hint="eastAsia" w:ascii="仿宋_GB2312" w:hAnsi="仿宋_GB2312" w:eastAsia="仿宋_GB2312" w:cs="仿宋_GB2312"/>
          <w:color w:val="auto"/>
          <w:spacing w:val="0"/>
          <w:w w:val="100"/>
          <w:position w:val="0"/>
          <w:sz w:val="32"/>
          <w:szCs w:val="32"/>
          <w:shd w:val="clear" w:color="auto" w:fill="auto"/>
        </w:rPr>
        <w:t>跨</w:t>
      </w:r>
      <w:r>
        <w:rPr>
          <w:rFonts w:hint="eastAsia" w:ascii="仿宋_GB2312" w:hAnsi="仿宋_GB2312" w:eastAsia="仿宋_GB2312" w:cs="仿宋_GB2312"/>
          <w:color w:val="auto"/>
          <w:spacing w:val="0"/>
          <w:w w:val="100"/>
          <w:position w:val="0"/>
          <w:sz w:val="32"/>
          <w:szCs w:val="32"/>
          <w:shd w:val="clear" w:color="auto" w:fill="auto"/>
          <w:lang w:eastAsia="zh-CN"/>
        </w:rPr>
        <w:t>镇（乡）</w:t>
      </w:r>
      <w:r>
        <w:rPr>
          <w:rFonts w:hint="eastAsia" w:ascii="仿宋_GB2312" w:hAnsi="仿宋_GB2312" w:eastAsia="仿宋_GB2312" w:cs="仿宋_GB2312"/>
          <w:color w:val="auto"/>
          <w:spacing w:val="0"/>
          <w:w w:val="100"/>
          <w:position w:val="0"/>
          <w:sz w:val="32"/>
          <w:szCs w:val="32"/>
          <w:shd w:val="clear" w:color="auto" w:fill="auto"/>
        </w:rPr>
        <w:t>项目由</w:t>
      </w:r>
      <w:r>
        <w:rPr>
          <w:rFonts w:hint="eastAsia" w:ascii="仿宋_GB2312" w:hAnsi="仿宋_GB2312" w:eastAsia="仿宋_GB2312" w:cs="仿宋_GB2312"/>
          <w:color w:val="auto"/>
          <w:spacing w:val="0"/>
          <w:w w:val="100"/>
          <w:position w:val="0"/>
          <w:sz w:val="32"/>
          <w:szCs w:val="32"/>
          <w:shd w:val="clear" w:color="auto" w:fill="auto"/>
          <w:lang w:eastAsia="zh-CN"/>
        </w:rPr>
        <w:t>涉及镇（乡）</w:t>
      </w:r>
      <w:r>
        <w:rPr>
          <w:rFonts w:hint="eastAsia" w:ascii="仿宋_GB2312" w:hAnsi="仿宋_GB2312" w:eastAsia="仿宋_GB2312" w:cs="仿宋_GB2312"/>
          <w:color w:val="auto"/>
          <w:spacing w:val="0"/>
          <w:w w:val="100"/>
          <w:position w:val="0"/>
          <w:sz w:val="32"/>
          <w:szCs w:val="32"/>
          <w:shd w:val="clear" w:color="auto" w:fill="auto"/>
        </w:rPr>
        <w:t>联合</w:t>
      </w:r>
      <w:r>
        <w:rPr>
          <w:rFonts w:hint="eastAsia" w:ascii="仿宋_GB2312" w:hAnsi="仿宋_GB2312" w:eastAsia="仿宋_GB2312" w:cs="仿宋_GB2312"/>
          <w:color w:val="auto"/>
          <w:spacing w:val="0"/>
          <w:w w:val="100"/>
          <w:position w:val="0"/>
          <w:sz w:val="32"/>
          <w:szCs w:val="32"/>
          <w:shd w:val="clear" w:color="auto" w:fill="auto"/>
          <w:lang w:eastAsia="zh-CN"/>
        </w:rPr>
        <w:t>移送。负责处置的部门接受材料后，开展砂石土</w:t>
      </w:r>
      <w:r>
        <w:rPr>
          <w:rFonts w:hint="eastAsia" w:ascii="仿宋_GB2312" w:hAnsi="仿宋_GB2312" w:eastAsia="仿宋_GB2312" w:cs="仿宋_GB2312"/>
          <w:color w:val="auto"/>
          <w:spacing w:val="0"/>
          <w:w w:val="100"/>
          <w:position w:val="0"/>
          <w:sz w:val="32"/>
          <w:szCs w:val="32"/>
          <w:shd w:val="clear" w:color="auto" w:fill="auto"/>
        </w:rPr>
        <w:t>相关</w:t>
      </w:r>
      <w:r>
        <w:rPr>
          <w:rFonts w:hint="eastAsia" w:ascii="仿宋_GB2312" w:hAnsi="仿宋_GB2312" w:eastAsia="仿宋_GB2312" w:cs="仿宋_GB2312"/>
          <w:color w:val="auto"/>
          <w:spacing w:val="0"/>
          <w:w w:val="100"/>
          <w:position w:val="0"/>
          <w:sz w:val="32"/>
          <w:szCs w:val="32"/>
          <w:shd w:val="clear" w:color="auto" w:fill="auto"/>
          <w:lang w:eastAsia="zh-CN"/>
        </w:rPr>
        <w:t>测量、评估报告，征求相关部门意见后，</w:t>
      </w:r>
      <w:r>
        <w:rPr>
          <w:rFonts w:hint="eastAsia" w:ascii="仿宋_GB2312" w:hAnsi="仿宋_GB2312" w:eastAsia="仿宋_GB2312" w:cs="仿宋_GB2312"/>
          <w:color w:val="auto"/>
          <w:spacing w:val="0"/>
          <w:w w:val="100"/>
          <w:position w:val="0"/>
          <w:sz w:val="32"/>
          <w:szCs w:val="32"/>
          <w:shd w:val="clear" w:color="auto" w:fill="auto"/>
        </w:rPr>
        <w:t>经</w:t>
      </w:r>
      <w:r>
        <w:rPr>
          <w:rFonts w:hint="eastAsia" w:ascii="仿宋_GB2312" w:hAnsi="仿宋_GB2312" w:eastAsia="仿宋_GB2312" w:cs="仿宋_GB2312"/>
          <w:color w:val="auto"/>
          <w:spacing w:val="0"/>
          <w:w w:val="100"/>
          <w:position w:val="0"/>
          <w:sz w:val="32"/>
          <w:szCs w:val="32"/>
          <w:shd w:val="clear" w:color="auto" w:fill="auto"/>
          <w:lang w:val="en-US" w:eastAsia="zh-CN"/>
        </w:rPr>
        <w:t>市</w:t>
      </w:r>
      <w:r>
        <w:rPr>
          <w:rFonts w:hint="eastAsia" w:ascii="仿宋_GB2312" w:hAnsi="仿宋_GB2312" w:eastAsia="仿宋_GB2312" w:cs="仿宋_GB2312"/>
          <w:color w:val="auto"/>
          <w:spacing w:val="0"/>
          <w:w w:val="100"/>
          <w:position w:val="0"/>
          <w:sz w:val="32"/>
          <w:szCs w:val="32"/>
          <w:shd w:val="clear" w:color="auto" w:fill="auto"/>
        </w:rPr>
        <w:t>政府</w:t>
      </w:r>
      <w:r>
        <w:rPr>
          <w:rFonts w:hint="eastAsia" w:ascii="仿宋_GB2312" w:hAnsi="仿宋_GB2312" w:eastAsia="仿宋_GB2312" w:cs="仿宋_GB2312"/>
          <w:color w:val="auto"/>
          <w:spacing w:val="0"/>
          <w:w w:val="100"/>
          <w:position w:val="0"/>
          <w:sz w:val="32"/>
          <w:szCs w:val="32"/>
          <w:shd w:val="clear" w:color="auto" w:fill="auto"/>
          <w:lang w:eastAsia="zh-CN"/>
        </w:rPr>
        <w:t>同意后</w:t>
      </w:r>
      <w:r>
        <w:rPr>
          <w:rFonts w:hint="eastAsia" w:ascii="仿宋_GB2312" w:hAnsi="仿宋_GB2312" w:eastAsia="仿宋_GB2312" w:cs="仿宋_GB2312"/>
          <w:color w:val="auto"/>
          <w:spacing w:val="0"/>
          <w:w w:val="100"/>
          <w:position w:val="0"/>
          <w:sz w:val="32"/>
          <w:szCs w:val="32"/>
          <w:shd w:val="clear" w:color="auto" w:fill="auto"/>
        </w:rPr>
        <w:t>组织公开处置</w:t>
      </w:r>
      <w:r>
        <w:rPr>
          <w:rFonts w:hint="eastAsia" w:ascii="仿宋_GB2312" w:hAnsi="仿宋_GB2312" w:eastAsia="仿宋_GB2312" w:cs="仿宋_GB2312"/>
          <w:color w:val="auto"/>
          <w:spacing w:val="0"/>
          <w:w w:val="100"/>
          <w:position w:val="0"/>
          <w:sz w:val="32"/>
          <w:szCs w:val="32"/>
          <w:shd w:val="clear" w:color="auto" w:fill="auto"/>
          <w:lang w:eastAsia="zh-CN"/>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0"/>
          <w:w w:val="100"/>
          <w:position w:val="0"/>
          <w:sz w:val="32"/>
          <w:szCs w:val="32"/>
          <w:shd w:val="clear" w:color="auto" w:fill="auto"/>
          <w:lang w:eastAsia="zh-CN"/>
        </w:rPr>
        <w:t>工程建设项目实施过程中，必须坚持“少开挖、控总量”原则，砂石土采挖量严格限定于工程建设必要限定内，严禁为处置砂石土而人为设置工程建设项目。</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第四条 </w:t>
      </w:r>
      <w:r>
        <w:rPr>
          <w:rFonts w:hint="eastAsia" w:ascii="仿宋_GB2312" w:hAnsi="仿宋_GB2312" w:eastAsia="仿宋_GB2312" w:cs="仿宋_GB2312"/>
          <w:b/>
          <w:bCs/>
          <w:color w:val="auto"/>
          <w:spacing w:val="0"/>
          <w:w w:val="100"/>
          <w:position w:val="0"/>
          <w:sz w:val="32"/>
          <w:szCs w:val="32"/>
          <w:shd w:val="clear" w:color="auto" w:fill="auto"/>
          <w:lang w:eastAsia="zh-CN"/>
        </w:rPr>
        <w:t>储量核算和价格评估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w w:val="100"/>
          <w:position w:val="0"/>
          <w:sz w:val="32"/>
          <w:szCs w:val="32"/>
          <w:shd w:val="clear" w:color="auto" w:fill="auto"/>
        </w:rPr>
        <w:t>工程建设项目须在勘查设计阶段</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完成项目</w:t>
      </w:r>
      <w:r>
        <w:rPr>
          <w:rFonts w:hint="eastAsia" w:ascii="仿宋_GB2312" w:hAnsi="仿宋_GB2312" w:eastAsia="仿宋_GB2312" w:cs="仿宋_GB2312"/>
          <w:color w:val="auto"/>
          <w:spacing w:val="0"/>
          <w:w w:val="100"/>
          <w:position w:val="0"/>
          <w:sz w:val="32"/>
          <w:szCs w:val="32"/>
          <w:shd w:val="clear" w:color="auto" w:fill="auto"/>
          <w:lang w:val="en-US" w:eastAsia="zh-CN"/>
        </w:rPr>
        <w:t>区域</w:t>
      </w:r>
      <w:r>
        <w:rPr>
          <w:rFonts w:hint="eastAsia" w:ascii="仿宋_GB2312" w:hAnsi="仿宋_GB2312" w:eastAsia="仿宋_GB2312" w:cs="仿宋_GB2312"/>
          <w:color w:val="auto"/>
          <w:spacing w:val="0"/>
          <w:w w:val="100"/>
          <w:position w:val="0"/>
          <w:sz w:val="32"/>
          <w:szCs w:val="32"/>
          <w:shd w:val="clear" w:color="auto" w:fill="auto"/>
        </w:rPr>
        <w:t>原有砂石土总方量核算</w:t>
      </w:r>
      <w:r>
        <w:rPr>
          <w:rFonts w:hint="eastAsia" w:ascii="仿宋_GB2312" w:hAnsi="仿宋_GB2312" w:eastAsia="仿宋_GB2312" w:cs="仿宋_GB2312"/>
          <w:color w:val="auto"/>
          <w:spacing w:val="0"/>
          <w:w w:val="100"/>
          <w:position w:val="0"/>
          <w:sz w:val="32"/>
          <w:szCs w:val="32"/>
          <w:shd w:val="clear" w:color="auto" w:fill="auto"/>
          <w:lang w:eastAsia="zh-CN"/>
        </w:rPr>
        <w:t>工作</w:t>
      </w:r>
      <w:r>
        <w:rPr>
          <w:rFonts w:hint="eastAsia" w:ascii="仿宋_GB2312" w:hAnsi="仿宋_GB2312" w:eastAsia="仿宋_GB2312" w:cs="仿宋_GB2312"/>
          <w:color w:val="auto"/>
          <w:spacing w:val="0"/>
          <w:w w:val="100"/>
          <w:position w:val="0"/>
          <w:sz w:val="32"/>
          <w:szCs w:val="32"/>
          <w:shd w:val="clear" w:color="auto" w:fill="auto"/>
        </w:rPr>
        <w:t>，明确</w:t>
      </w:r>
      <w:r>
        <w:rPr>
          <w:rFonts w:hint="eastAsia" w:ascii="仿宋_GB2312" w:hAnsi="仿宋_GB2312" w:eastAsia="仿宋_GB2312" w:cs="仿宋_GB2312"/>
          <w:color w:val="auto"/>
          <w:spacing w:val="0"/>
          <w:w w:val="100"/>
          <w:position w:val="0"/>
          <w:sz w:val="32"/>
          <w:szCs w:val="32"/>
          <w:shd w:val="clear" w:color="auto" w:fill="auto"/>
          <w:lang w:eastAsia="zh-CN"/>
        </w:rPr>
        <w:t>核算</w:t>
      </w:r>
      <w:r>
        <w:rPr>
          <w:rFonts w:hint="eastAsia" w:ascii="仿宋_GB2312" w:hAnsi="仿宋_GB2312" w:eastAsia="仿宋_GB2312" w:cs="仿宋_GB2312"/>
          <w:color w:val="auto"/>
          <w:spacing w:val="0"/>
          <w:w w:val="100"/>
          <w:position w:val="0"/>
          <w:sz w:val="32"/>
          <w:szCs w:val="32"/>
          <w:shd w:val="clear" w:color="auto" w:fill="auto"/>
        </w:rPr>
        <w:t>主体、</w:t>
      </w:r>
      <w:r>
        <w:rPr>
          <w:rFonts w:hint="eastAsia" w:ascii="仿宋_GB2312" w:hAnsi="仿宋_GB2312" w:eastAsia="仿宋_GB2312" w:cs="仿宋_GB2312"/>
          <w:color w:val="auto"/>
          <w:spacing w:val="0"/>
          <w:w w:val="100"/>
          <w:position w:val="0"/>
          <w:sz w:val="32"/>
          <w:szCs w:val="32"/>
          <w:shd w:val="clear" w:color="auto" w:fill="auto"/>
          <w:lang w:eastAsia="zh-CN"/>
        </w:rPr>
        <w:t>核算</w:t>
      </w:r>
      <w:r>
        <w:rPr>
          <w:rFonts w:hint="eastAsia" w:ascii="仿宋_GB2312" w:hAnsi="仿宋_GB2312" w:eastAsia="仿宋_GB2312" w:cs="仿宋_GB2312"/>
          <w:color w:val="auto"/>
          <w:spacing w:val="0"/>
          <w:w w:val="100"/>
          <w:position w:val="0"/>
          <w:sz w:val="32"/>
          <w:szCs w:val="32"/>
          <w:shd w:val="clear" w:color="auto" w:fill="auto"/>
        </w:rPr>
        <w:t>方法</w:t>
      </w:r>
      <w:r>
        <w:rPr>
          <w:rFonts w:hint="eastAsia" w:ascii="仿宋_GB2312" w:hAnsi="仿宋_GB2312" w:eastAsia="仿宋_GB2312" w:cs="仿宋_GB2312"/>
          <w:color w:val="auto"/>
          <w:spacing w:val="0"/>
          <w:w w:val="100"/>
          <w:position w:val="0"/>
          <w:sz w:val="32"/>
          <w:szCs w:val="32"/>
          <w:shd w:val="clear" w:color="auto" w:fill="auto"/>
          <w:lang w:eastAsia="zh-CN"/>
        </w:rPr>
        <w:t>和核算</w:t>
      </w:r>
      <w:r>
        <w:rPr>
          <w:rFonts w:hint="eastAsia" w:ascii="仿宋_GB2312" w:hAnsi="仿宋_GB2312" w:eastAsia="仿宋_GB2312" w:cs="仿宋_GB2312"/>
          <w:color w:val="auto"/>
          <w:spacing w:val="0"/>
          <w:w w:val="100"/>
          <w:position w:val="0"/>
          <w:sz w:val="32"/>
          <w:szCs w:val="32"/>
          <w:shd w:val="clear" w:color="auto" w:fill="auto"/>
        </w:rPr>
        <w:t>程序</w:t>
      </w:r>
      <w:r>
        <w:rPr>
          <w:rFonts w:hint="eastAsia" w:ascii="仿宋_GB2312" w:hAnsi="仿宋_GB2312" w:eastAsia="仿宋_GB2312" w:cs="仿宋_GB2312"/>
          <w:color w:val="auto"/>
          <w:spacing w:val="0"/>
          <w:w w:val="100"/>
          <w:position w:val="0"/>
          <w:sz w:val="32"/>
          <w:szCs w:val="32"/>
          <w:shd w:val="clear" w:color="auto" w:fill="auto"/>
          <w:lang w:eastAsia="zh-CN"/>
        </w:rPr>
        <w:t>，将砂石土利用与处置纳入施工方案统筹规划。</w:t>
      </w:r>
      <w:r>
        <w:rPr>
          <w:rFonts w:hint="eastAsia" w:ascii="仿宋_GB2312" w:hAnsi="仿宋_GB2312" w:eastAsia="仿宋_GB2312" w:cs="仿宋_GB2312"/>
          <w:color w:val="auto"/>
          <w:spacing w:val="0"/>
          <w:w w:val="100"/>
          <w:position w:val="0"/>
          <w:sz w:val="32"/>
          <w:szCs w:val="32"/>
          <w:shd w:val="clear" w:color="auto" w:fill="auto"/>
          <w:lang w:val="en-US" w:eastAsia="zh-CN"/>
        </w:rPr>
        <w:t>自然资源、水利、国资部门各自</w:t>
      </w:r>
      <w:r>
        <w:rPr>
          <w:rFonts w:hint="eastAsia" w:ascii="仿宋_GB2312" w:hAnsi="仿宋_GB2312" w:eastAsia="仿宋_GB2312" w:cs="仿宋_GB2312"/>
          <w:color w:val="auto"/>
          <w:spacing w:val="0"/>
          <w:w w:val="100"/>
          <w:position w:val="0"/>
          <w:sz w:val="32"/>
          <w:szCs w:val="32"/>
          <w:shd w:val="clear" w:color="auto" w:fill="auto"/>
        </w:rPr>
        <w:t>负责组织开展</w:t>
      </w:r>
      <w:r>
        <w:rPr>
          <w:rFonts w:hint="eastAsia" w:ascii="仿宋_GB2312" w:hAnsi="仿宋_GB2312" w:eastAsia="仿宋_GB2312" w:cs="仿宋_GB2312"/>
          <w:color w:val="auto"/>
          <w:spacing w:val="0"/>
          <w:w w:val="100"/>
          <w:position w:val="0"/>
          <w:sz w:val="32"/>
          <w:szCs w:val="32"/>
          <w:shd w:val="clear" w:color="auto" w:fill="auto"/>
          <w:lang w:val="en-US" w:eastAsia="zh-CN"/>
        </w:rPr>
        <w:t>采挖量</w:t>
      </w:r>
      <w:r>
        <w:rPr>
          <w:rFonts w:hint="eastAsia" w:ascii="仿宋_GB2312" w:hAnsi="仿宋_GB2312" w:eastAsia="仿宋_GB2312" w:cs="仿宋_GB2312"/>
          <w:color w:val="auto"/>
          <w:spacing w:val="0"/>
          <w:w w:val="100"/>
          <w:position w:val="0"/>
          <w:sz w:val="32"/>
          <w:szCs w:val="32"/>
          <w:shd w:val="clear" w:color="auto" w:fill="auto"/>
        </w:rPr>
        <w:t>核实和价格评估，核实</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价格评估等前期工作费用</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从</w:t>
      </w:r>
      <w:r>
        <w:rPr>
          <w:rFonts w:hint="eastAsia" w:ascii="仿宋_GB2312" w:hAnsi="仿宋_GB2312" w:eastAsia="仿宋_GB2312" w:cs="仿宋_GB2312"/>
          <w:color w:val="auto"/>
          <w:spacing w:val="0"/>
          <w:w w:val="100"/>
          <w:position w:val="0"/>
          <w:sz w:val="32"/>
          <w:szCs w:val="32"/>
          <w:shd w:val="clear" w:color="auto" w:fill="auto"/>
          <w:lang w:eastAsia="zh-CN"/>
        </w:rPr>
        <w:t>砂石土处置</w:t>
      </w:r>
      <w:r>
        <w:rPr>
          <w:rFonts w:hint="eastAsia" w:ascii="仿宋_GB2312" w:hAnsi="仿宋_GB2312" w:eastAsia="仿宋_GB2312" w:cs="仿宋_GB2312"/>
          <w:color w:val="auto"/>
          <w:spacing w:val="0"/>
          <w:w w:val="100"/>
          <w:position w:val="0"/>
          <w:sz w:val="32"/>
          <w:szCs w:val="32"/>
          <w:shd w:val="clear" w:color="auto" w:fill="auto"/>
        </w:rPr>
        <w:t>销售收益提取支出。价格评估</w:t>
      </w:r>
      <w:r>
        <w:rPr>
          <w:rFonts w:hint="eastAsia" w:ascii="仿宋_GB2312" w:hAnsi="仿宋_GB2312" w:eastAsia="仿宋_GB2312" w:cs="仿宋_GB2312"/>
          <w:color w:val="auto"/>
          <w:spacing w:val="0"/>
          <w:w w:val="100"/>
          <w:position w:val="0"/>
          <w:sz w:val="32"/>
          <w:szCs w:val="32"/>
          <w:shd w:val="clear" w:color="auto" w:fill="auto"/>
          <w:lang w:eastAsia="zh-CN"/>
        </w:rPr>
        <w:t>机构</w:t>
      </w:r>
      <w:r>
        <w:rPr>
          <w:rFonts w:hint="eastAsia" w:ascii="仿宋_GB2312" w:hAnsi="仿宋_GB2312" w:eastAsia="仿宋_GB2312" w:cs="仿宋_GB2312"/>
          <w:color w:val="auto"/>
          <w:spacing w:val="0"/>
          <w:w w:val="100"/>
          <w:position w:val="0"/>
          <w:sz w:val="32"/>
          <w:szCs w:val="32"/>
          <w:shd w:val="clear" w:color="auto" w:fill="auto"/>
        </w:rPr>
        <w:t>必须经过</w:t>
      </w:r>
      <w:r>
        <w:rPr>
          <w:rFonts w:hint="eastAsia" w:ascii="仿宋_GB2312" w:hAnsi="仿宋_GB2312" w:eastAsia="仿宋_GB2312" w:cs="仿宋_GB2312"/>
          <w:color w:val="auto"/>
          <w:spacing w:val="0"/>
          <w:w w:val="100"/>
          <w:position w:val="0"/>
          <w:sz w:val="32"/>
          <w:szCs w:val="32"/>
          <w:shd w:val="clear" w:color="auto" w:fill="auto"/>
          <w:lang w:eastAsia="zh-CN"/>
        </w:rPr>
        <w:t>广东省</w:t>
      </w:r>
      <w:r>
        <w:rPr>
          <w:rFonts w:hint="eastAsia" w:ascii="仿宋_GB2312" w:hAnsi="仿宋_GB2312" w:eastAsia="仿宋_GB2312" w:cs="仿宋_GB2312"/>
          <w:color w:val="auto"/>
          <w:spacing w:val="0"/>
          <w:w w:val="100"/>
          <w:position w:val="0"/>
          <w:sz w:val="32"/>
          <w:szCs w:val="32"/>
          <w:shd w:val="clear" w:color="auto" w:fill="auto"/>
          <w:lang w:val="en-US" w:eastAsia="zh-CN"/>
        </w:rPr>
        <w:t>政府采购网或</w:t>
      </w:r>
      <w:r>
        <w:rPr>
          <w:rFonts w:hint="eastAsia" w:ascii="仿宋_GB2312" w:hAnsi="仿宋_GB2312" w:eastAsia="仿宋_GB2312" w:cs="仿宋_GB2312"/>
          <w:color w:val="auto"/>
          <w:spacing w:val="0"/>
          <w:w w:val="100"/>
          <w:position w:val="0"/>
          <w:sz w:val="32"/>
          <w:szCs w:val="32"/>
          <w:shd w:val="clear" w:color="auto" w:fill="auto"/>
        </w:rPr>
        <w:t>广东省网上中介服务超市公开选</w:t>
      </w:r>
      <w:r>
        <w:rPr>
          <w:rFonts w:hint="eastAsia" w:ascii="仿宋_GB2312" w:hAnsi="仿宋_GB2312" w:eastAsia="仿宋_GB2312" w:cs="仿宋_GB2312"/>
          <w:color w:val="auto"/>
          <w:spacing w:val="0"/>
          <w:w w:val="100"/>
          <w:position w:val="0"/>
          <w:sz w:val="32"/>
          <w:szCs w:val="32"/>
          <w:shd w:val="clear" w:color="auto" w:fill="auto"/>
          <w:lang w:eastAsia="zh-CN"/>
        </w:rPr>
        <w:t>取</w:t>
      </w:r>
      <w:r>
        <w:rPr>
          <w:rFonts w:hint="eastAsia" w:ascii="仿宋_GB2312" w:hAnsi="仿宋_GB2312" w:eastAsia="仿宋_GB2312" w:cs="仿宋_GB2312"/>
          <w:color w:val="auto"/>
          <w:spacing w:val="0"/>
          <w:w w:val="100"/>
          <w:position w:val="0"/>
          <w:sz w:val="32"/>
          <w:szCs w:val="32"/>
          <w:shd w:val="clear" w:color="auto" w:fill="auto"/>
        </w:rPr>
        <w:t>，评估结果不能低于该</w:t>
      </w:r>
      <w:r>
        <w:rPr>
          <w:rFonts w:hint="eastAsia" w:ascii="仿宋_GB2312" w:hAnsi="仿宋_GB2312" w:eastAsia="仿宋_GB2312" w:cs="仿宋_GB2312"/>
          <w:color w:val="auto"/>
          <w:spacing w:val="0"/>
          <w:w w:val="100"/>
          <w:position w:val="0"/>
          <w:sz w:val="32"/>
          <w:szCs w:val="32"/>
          <w:shd w:val="clear" w:color="auto" w:fill="auto"/>
          <w:lang w:eastAsia="zh-CN"/>
        </w:rPr>
        <w:t>类</w:t>
      </w:r>
      <w:r>
        <w:rPr>
          <w:rFonts w:hint="eastAsia" w:ascii="仿宋_GB2312" w:hAnsi="仿宋_GB2312" w:eastAsia="仿宋_GB2312" w:cs="仿宋_GB2312"/>
          <w:color w:val="auto"/>
          <w:spacing w:val="0"/>
          <w:w w:val="100"/>
          <w:position w:val="0"/>
          <w:sz w:val="32"/>
          <w:szCs w:val="32"/>
          <w:shd w:val="clear" w:color="auto" w:fill="auto"/>
        </w:rPr>
        <w:t>产品（或同类产品）的市场基准价。</w:t>
      </w:r>
      <w:r>
        <w:rPr>
          <w:rFonts w:hint="eastAsia" w:ascii="仿宋_GB2312" w:hAnsi="仿宋_GB2312" w:eastAsia="仿宋_GB2312" w:cs="仿宋_GB2312"/>
          <w:color w:val="auto"/>
          <w:spacing w:val="0"/>
          <w:w w:val="100"/>
          <w:position w:val="0"/>
          <w:sz w:val="32"/>
          <w:szCs w:val="32"/>
          <w:shd w:val="clear" w:color="auto" w:fill="auto"/>
          <w:lang w:eastAsia="zh-CN"/>
        </w:rPr>
        <w:t>经专业技术机构核算评估，明确不具备经济价值的剩余砂石土，由项目承办单位依法依规处置，相关评估费用由承办单位自行承担。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第五条 </w:t>
      </w:r>
      <w:r>
        <w:rPr>
          <w:rFonts w:hint="eastAsia" w:ascii="仿宋_GB2312" w:hAnsi="仿宋_GB2312" w:eastAsia="仿宋_GB2312" w:cs="仿宋_GB2312"/>
          <w:b/>
          <w:bCs/>
          <w:color w:val="auto"/>
          <w:spacing w:val="0"/>
          <w:w w:val="100"/>
          <w:position w:val="0"/>
          <w:sz w:val="32"/>
          <w:szCs w:val="32"/>
          <w:shd w:val="clear" w:color="auto" w:fill="auto"/>
          <w:lang w:eastAsia="zh-CN"/>
        </w:rPr>
        <w:t>收益管理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0"/>
          <w:w w:val="100"/>
          <w:position w:val="0"/>
          <w:sz w:val="32"/>
          <w:szCs w:val="32"/>
          <w:shd w:val="clear" w:color="auto" w:fill="auto"/>
        </w:rPr>
        <w:t>工程建设项目砂石土处置收益作为其他国有资源（资产）有偿使用收入纳入</w:t>
      </w:r>
      <w:r>
        <w:rPr>
          <w:rFonts w:hint="eastAsia" w:ascii="仿宋_GB2312" w:hAnsi="仿宋_GB2312" w:eastAsia="仿宋_GB2312" w:cs="仿宋_GB2312"/>
          <w:color w:val="auto"/>
          <w:spacing w:val="0"/>
          <w:w w:val="100"/>
          <w:position w:val="0"/>
          <w:sz w:val="32"/>
          <w:szCs w:val="32"/>
          <w:shd w:val="clear" w:color="auto" w:fill="auto"/>
          <w:lang w:eastAsia="zh-CN"/>
        </w:rPr>
        <w:t>连州市</w:t>
      </w:r>
      <w:r>
        <w:rPr>
          <w:rFonts w:hint="eastAsia" w:ascii="仿宋_GB2312" w:hAnsi="仿宋_GB2312" w:eastAsia="仿宋_GB2312" w:cs="仿宋_GB2312"/>
          <w:color w:val="auto"/>
          <w:spacing w:val="0"/>
          <w:w w:val="100"/>
          <w:position w:val="0"/>
          <w:sz w:val="32"/>
          <w:szCs w:val="32"/>
          <w:shd w:val="clear" w:color="auto" w:fill="auto"/>
        </w:rPr>
        <w:t>财政管理</w:t>
      </w:r>
      <w:r>
        <w:rPr>
          <w:rFonts w:hint="eastAsia" w:ascii="仿宋_GB2312" w:hAnsi="仿宋_GB2312" w:eastAsia="仿宋_GB2312" w:cs="仿宋_GB2312"/>
          <w:color w:val="auto"/>
          <w:spacing w:val="0"/>
          <w:w w:val="100"/>
          <w:position w:val="0"/>
          <w:sz w:val="32"/>
          <w:szCs w:val="32"/>
          <w:shd w:val="clear" w:color="auto" w:fill="auto"/>
          <w:lang w:eastAsia="zh-CN"/>
        </w:rPr>
        <w:t>，实行“收支两条线”。处置收益应当优先安排用于与砂石土处置相关的成本性支出。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第六条 </w:t>
      </w:r>
      <w:r>
        <w:rPr>
          <w:rFonts w:hint="eastAsia" w:ascii="仿宋_GB2312" w:hAnsi="仿宋_GB2312" w:eastAsia="仿宋_GB2312" w:cs="仿宋_GB2312"/>
          <w:b/>
          <w:bCs/>
          <w:color w:val="auto"/>
          <w:spacing w:val="0"/>
          <w:w w:val="100"/>
          <w:position w:val="0"/>
          <w:sz w:val="32"/>
          <w:szCs w:val="32"/>
          <w:shd w:val="clear" w:color="auto" w:fill="auto"/>
          <w:lang w:eastAsia="zh-CN"/>
        </w:rPr>
        <w:t>处置后续管理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position w:val="0"/>
          <w:sz w:val="32"/>
          <w:szCs w:val="32"/>
          <w:shd w:val="clear" w:color="auto" w:fill="auto"/>
        </w:rPr>
        <w:t>工程建设项目砂石土竞得人享有砂石土处置权，但不得在工程建设项目批准占地范围内搭建碎石生产线或石料加工场。工程建设项目砂石土需临时堆放的，须按规定办理临时用地审批手续</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堆放场</w:t>
      </w:r>
      <w:r>
        <w:rPr>
          <w:rFonts w:hint="eastAsia" w:ascii="仿宋_GB2312" w:hAnsi="仿宋_GB2312" w:eastAsia="仿宋_GB2312" w:cs="仿宋_GB2312"/>
          <w:color w:val="auto"/>
          <w:spacing w:val="0"/>
          <w:w w:val="100"/>
          <w:position w:val="0"/>
          <w:sz w:val="32"/>
          <w:szCs w:val="32"/>
          <w:shd w:val="clear" w:color="auto" w:fill="auto"/>
          <w:lang w:eastAsia="zh-CN"/>
        </w:rPr>
        <w:t>应符合</w:t>
      </w:r>
      <w:r>
        <w:rPr>
          <w:rFonts w:hint="eastAsia" w:ascii="仿宋_GB2312" w:hAnsi="仿宋_GB2312" w:eastAsia="仿宋_GB2312" w:cs="仿宋_GB2312"/>
          <w:color w:val="auto"/>
          <w:spacing w:val="0"/>
          <w:w w:val="100"/>
          <w:position w:val="0"/>
          <w:sz w:val="32"/>
          <w:szCs w:val="32"/>
          <w:shd w:val="clear" w:color="auto" w:fill="auto"/>
        </w:rPr>
        <w:t>安全、环保、水土保持</w:t>
      </w:r>
      <w:r>
        <w:rPr>
          <w:rFonts w:hint="eastAsia" w:ascii="仿宋_GB2312" w:hAnsi="仿宋_GB2312" w:eastAsia="仿宋_GB2312" w:cs="仿宋_GB2312"/>
          <w:color w:val="auto"/>
          <w:spacing w:val="0"/>
          <w:w w:val="100"/>
          <w:position w:val="0"/>
          <w:sz w:val="32"/>
          <w:szCs w:val="32"/>
          <w:shd w:val="clear" w:color="auto" w:fill="auto"/>
          <w:lang w:eastAsia="zh-CN"/>
        </w:rPr>
        <w:t>相关要求</w:t>
      </w:r>
      <w:r>
        <w:rPr>
          <w:rFonts w:hint="eastAsia" w:ascii="仿宋_GB2312" w:hAnsi="仿宋_GB2312" w:eastAsia="仿宋_GB2312" w:cs="仿宋_GB2312"/>
          <w:color w:val="auto"/>
          <w:spacing w:val="0"/>
          <w:w w:val="100"/>
          <w:position w:val="0"/>
          <w:sz w:val="32"/>
          <w:szCs w:val="32"/>
          <w:shd w:val="clear" w:color="auto" w:fill="auto"/>
        </w:rPr>
        <w:t>，</w:t>
      </w:r>
      <w:r>
        <w:rPr>
          <w:rFonts w:hint="eastAsia" w:ascii="仿宋_GB2312" w:hAnsi="仿宋_GB2312" w:eastAsia="仿宋_GB2312" w:cs="仿宋_GB2312"/>
          <w:color w:val="auto"/>
          <w:spacing w:val="0"/>
          <w:w w:val="100"/>
          <w:position w:val="0"/>
          <w:sz w:val="32"/>
          <w:szCs w:val="32"/>
          <w:shd w:val="clear" w:color="auto" w:fill="auto"/>
          <w:lang w:eastAsia="zh-CN"/>
        </w:rPr>
        <w:t>设置围挡、覆盖等相关防护措施，</w:t>
      </w:r>
      <w:r>
        <w:rPr>
          <w:rFonts w:hint="eastAsia" w:ascii="仿宋_GB2312" w:hAnsi="仿宋_GB2312" w:eastAsia="仿宋_GB2312" w:cs="仿宋_GB2312"/>
          <w:color w:val="auto"/>
          <w:spacing w:val="0"/>
          <w:w w:val="100"/>
          <w:position w:val="0"/>
          <w:sz w:val="32"/>
          <w:szCs w:val="32"/>
          <w:shd w:val="clear" w:color="auto" w:fill="auto"/>
        </w:rPr>
        <w:t>并主动接受相关部门的监管。</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val="en-US"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第七条 </w:t>
      </w:r>
      <w:r>
        <w:rPr>
          <w:rFonts w:hint="eastAsia" w:ascii="仿宋_GB2312" w:hAnsi="仿宋_GB2312" w:eastAsia="仿宋_GB2312" w:cs="仿宋_GB2312"/>
          <w:b/>
          <w:bCs/>
          <w:color w:val="auto"/>
          <w:spacing w:val="0"/>
          <w:w w:val="100"/>
          <w:position w:val="0"/>
          <w:sz w:val="32"/>
          <w:szCs w:val="32"/>
          <w:shd w:val="clear" w:color="auto" w:fill="auto"/>
          <w:lang w:eastAsia="zh-CN"/>
        </w:rPr>
        <w:t>监督管理责任</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pacing w:val="0"/>
          <w:w w:val="100"/>
          <w:position w:val="0"/>
          <w:sz w:val="32"/>
          <w:szCs w:val="32"/>
          <w:shd w:val="clear" w:color="auto" w:fill="auto"/>
          <w:lang w:eastAsia="zh-CN"/>
        </w:rPr>
      </w:pPr>
      <w:r>
        <w:rPr>
          <w:rFonts w:hint="eastAsia" w:ascii="仿宋_GB2312" w:hAnsi="仿宋_GB2312" w:eastAsia="仿宋_GB2312" w:cs="仿宋_GB2312"/>
          <w:color w:val="auto"/>
          <w:spacing w:val="0"/>
          <w:w w:val="100"/>
          <w:position w:val="0"/>
          <w:sz w:val="32"/>
          <w:szCs w:val="32"/>
          <w:shd w:val="clear" w:color="auto" w:fill="auto"/>
        </w:rPr>
        <w:t>工程建设项目建设单位要切实落实项目建设主体责任，</w:t>
      </w:r>
      <w:r>
        <w:rPr>
          <w:rFonts w:hint="eastAsia" w:ascii="仿宋_GB2312" w:hAnsi="仿宋_GB2312" w:eastAsia="仿宋_GB2312" w:cs="仿宋_GB2312"/>
          <w:color w:val="auto"/>
          <w:spacing w:val="0"/>
          <w:w w:val="100"/>
          <w:position w:val="0"/>
          <w:sz w:val="32"/>
          <w:szCs w:val="32"/>
          <w:shd w:val="clear" w:color="auto" w:fill="auto"/>
          <w:lang w:eastAsia="zh-CN"/>
        </w:rPr>
        <w:t>严格按照</w:t>
      </w:r>
      <w:r>
        <w:rPr>
          <w:rFonts w:hint="eastAsia" w:ascii="仿宋_GB2312" w:hAnsi="仿宋_GB2312" w:eastAsia="仿宋_GB2312" w:cs="仿宋_GB2312"/>
          <w:color w:val="auto"/>
          <w:spacing w:val="0"/>
          <w:w w:val="100"/>
          <w:position w:val="0"/>
          <w:sz w:val="32"/>
          <w:szCs w:val="32"/>
          <w:shd w:val="clear" w:color="auto" w:fill="auto"/>
        </w:rPr>
        <w:t>审批文件</w:t>
      </w:r>
      <w:r>
        <w:rPr>
          <w:rFonts w:hint="eastAsia" w:ascii="仿宋_GB2312" w:hAnsi="仿宋_GB2312" w:eastAsia="仿宋_GB2312" w:cs="仿宋_GB2312"/>
          <w:color w:val="auto"/>
          <w:spacing w:val="0"/>
          <w:w w:val="100"/>
          <w:position w:val="0"/>
          <w:sz w:val="32"/>
          <w:szCs w:val="32"/>
          <w:shd w:val="clear" w:color="auto" w:fill="auto"/>
          <w:lang w:eastAsia="zh-CN"/>
        </w:rPr>
        <w:t>和施工方案</w:t>
      </w:r>
      <w:r>
        <w:rPr>
          <w:rFonts w:hint="eastAsia" w:ascii="仿宋_GB2312" w:hAnsi="仿宋_GB2312" w:eastAsia="仿宋_GB2312" w:cs="仿宋_GB2312"/>
          <w:color w:val="auto"/>
          <w:spacing w:val="0"/>
          <w:w w:val="100"/>
          <w:position w:val="0"/>
          <w:sz w:val="32"/>
          <w:szCs w:val="32"/>
          <w:shd w:val="clear" w:color="auto" w:fill="auto"/>
        </w:rPr>
        <w:t>要求实施</w:t>
      </w:r>
      <w:r>
        <w:rPr>
          <w:rFonts w:hint="eastAsia" w:ascii="仿宋_GB2312" w:hAnsi="仿宋_GB2312" w:eastAsia="仿宋_GB2312" w:cs="仿宋_GB2312"/>
          <w:color w:val="auto"/>
          <w:spacing w:val="0"/>
          <w:w w:val="100"/>
          <w:position w:val="0"/>
          <w:sz w:val="32"/>
          <w:szCs w:val="32"/>
          <w:shd w:val="clear" w:color="auto" w:fill="auto"/>
          <w:lang w:eastAsia="zh-CN"/>
        </w:rPr>
        <w:t>，不得擅自销售自用外剩余砂石土，不得超越方案采挖或变更采挖范围（含深度）</w:t>
      </w:r>
      <w:r>
        <w:rPr>
          <w:rFonts w:hint="eastAsia" w:ascii="仿宋_GB2312" w:hAnsi="仿宋_GB2312" w:eastAsia="仿宋_GB2312" w:cs="仿宋_GB2312"/>
          <w:color w:val="auto"/>
          <w:spacing w:val="0"/>
          <w:w w:val="100"/>
          <w:position w:val="0"/>
          <w:sz w:val="32"/>
          <w:szCs w:val="32"/>
          <w:shd w:val="clear" w:color="auto" w:fill="auto"/>
        </w:rPr>
        <w:t>。按照“谁审批、谁负责”“谁批准、谁监管”的原则，工程建设项目行政主管部门（项目主管部门）对所批准的工程建设项目和涉及的砂石土资源情况负有监督管理责任，要依法加强工程建设项目监管，属地</w:t>
      </w:r>
      <w:r>
        <w:rPr>
          <w:rFonts w:hint="eastAsia" w:ascii="仿宋_GB2312" w:hAnsi="仿宋_GB2312" w:eastAsia="仿宋_GB2312" w:cs="仿宋_GB2312"/>
          <w:color w:val="auto"/>
          <w:spacing w:val="0"/>
          <w:w w:val="100"/>
          <w:position w:val="0"/>
          <w:sz w:val="32"/>
          <w:szCs w:val="32"/>
          <w:shd w:val="clear" w:color="auto" w:fill="auto"/>
          <w:lang w:eastAsia="zh-CN"/>
        </w:rPr>
        <w:t>镇（乡）</w:t>
      </w:r>
      <w:r>
        <w:rPr>
          <w:rFonts w:hint="eastAsia" w:ascii="仿宋_GB2312" w:hAnsi="仿宋_GB2312" w:eastAsia="仿宋_GB2312" w:cs="仿宋_GB2312"/>
          <w:color w:val="auto"/>
          <w:spacing w:val="0"/>
          <w:w w:val="100"/>
          <w:position w:val="0"/>
          <w:sz w:val="32"/>
          <w:szCs w:val="32"/>
          <w:shd w:val="clear" w:color="auto" w:fill="auto"/>
        </w:rPr>
        <w:t>人民政府要加强</w:t>
      </w:r>
      <w:r>
        <w:rPr>
          <w:rFonts w:hint="eastAsia" w:ascii="仿宋_GB2312" w:hAnsi="仿宋_GB2312" w:eastAsia="仿宋_GB2312" w:cs="仿宋_GB2312"/>
          <w:color w:val="auto"/>
          <w:spacing w:val="0"/>
          <w:w w:val="100"/>
          <w:position w:val="0"/>
          <w:sz w:val="32"/>
          <w:szCs w:val="32"/>
          <w:shd w:val="clear" w:color="auto" w:fill="auto"/>
          <w:lang w:eastAsia="zh-CN"/>
        </w:rPr>
        <w:t>日常</w:t>
      </w:r>
      <w:r>
        <w:rPr>
          <w:rFonts w:hint="eastAsia" w:ascii="仿宋_GB2312" w:hAnsi="仿宋_GB2312" w:eastAsia="仿宋_GB2312" w:cs="仿宋_GB2312"/>
          <w:color w:val="auto"/>
          <w:spacing w:val="0"/>
          <w:w w:val="100"/>
          <w:position w:val="0"/>
          <w:sz w:val="32"/>
          <w:szCs w:val="32"/>
          <w:shd w:val="clear" w:color="auto" w:fill="auto"/>
        </w:rPr>
        <w:t>巡查监管、维护施工环境，对超出工程建设项目批准占地范围采挖</w:t>
      </w:r>
      <w:r>
        <w:rPr>
          <w:rFonts w:hint="eastAsia" w:ascii="仿宋_GB2312" w:hAnsi="仿宋_GB2312" w:eastAsia="仿宋_GB2312" w:cs="仿宋_GB2312"/>
          <w:color w:val="auto"/>
          <w:spacing w:val="0"/>
          <w:w w:val="100"/>
          <w:position w:val="0"/>
          <w:sz w:val="32"/>
          <w:szCs w:val="32"/>
          <w:shd w:val="clear" w:color="auto" w:fill="auto"/>
          <w:lang w:eastAsia="zh-CN"/>
        </w:rPr>
        <w:t>、非法处置</w:t>
      </w:r>
      <w:r>
        <w:rPr>
          <w:rFonts w:hint="eastAsia" w:ascii="仿宋_GB2312" w:hAnsi="仿宋_GB2312" w:eastAsia="仿宋_GB2312" w:cs="仿宋_GB2312"/>
          <w:color w:val="auto"/>
          <w:spacing w:val="0"/>
          <w:w w:val="100"/>
          <w:position w:val="0"/>
          <w:sz w:val="32"/>
          <w:szCs w:val="32"/>
          <w:shd w:val="clear" w:color="auto" w:fill="auto"/>
        </w:rPr>
        <w:t>砂石土</w:t>
      </w:r>
      <w:r>
        <w:rPr>
          <w:rFonts w:hint="eastAsia" w:ascii="仿宋_GB2312" w:hAnsi="仿宋_GB2312" w:eastAsia="仿宋_GB2312" w:cs="仿宋_GB2312"/>
          <w:color w:val="auto"/>
          <w:spacing w:val="0"/>
          <w:w w:val="100"/>
          <w:position w:val="0"/>
          <w:sz w:val="32"/>
          <w:szCs w:val="32"/>
          <w:shd w:val="clear" w:color="auto" w:fill="auto"/>
          <w:lang w:eastAsia="zh-CN"/>
        </w:rPr>
        <w:t>等行为</w:t>
      </w:r>
      <w:r>
        <w:rPr>
          <w:rFonts w:hint="eastAsia" w:ascii="仿宋_GB2312" w:hAnsi="仿宋_GB2312" w:eastAsia="仿宋_GB2312" w:cs="仿宋_GB2312"/>
          <w:color w:val="auto"/>
          <w:spacing w:val="0"/>
          <w:w w:val="100"/>
          <w:position w:val="0"/>
          <w:sz w:val="32"/>
          <w:szCs w:val="32"/>
          <w:shd w:val="clear" w:color="auto" w:fill="auto"/>
        </w:rPr>
        <w:t>，应及时制止、责令恢复治理，并将有关情况函告</w:t>
      </w:r>
      <w:r>
        <w:rPr>
          <w:rFonts w:hint="eastAsia" w:ascii="仿宋_GB2312" w:hAnsi="仿宋_GB2312" w:eastAsia="仿宋_GB2312" w:cs="仿宋_GB2312"/>
          <w:color w:val="auto"/>
          <w:spacing w:val="0"/>
          <w:w w:val="100"/>
          <w:position w:val="0"/>
          <w:sz w:val="32"/>
          <w:szCs w:val="32"/>
          <w:shd w:val="clear" w:color="auto" w:fill="auto"/>
          <w:lang w:val="en-US" w:eastAsia="zh-CN"/>
        </w:rPr>
        <w:t>市</w:t>
      </w:r>
      <w:r>
        <w:rPr>
          <w:rFonts w:hint="eastAsia" w:ascii="仿宋_GB2312" w:hAnsi="仿宋_GB2312" w:eastAsia="仿宋_GB2312" w:cs="仿宋_GB2312"/>
          <w:color w:val="auto"/>
          <w:spacing w:val="0"/>
          <w:w w:val="100"/>
          <w:position w:val="0"/>
          <w:sz w:val="32"/>
          <w:szCs w:val="32"/>
          <w:shd w:val="clear" w:color="auto" w:fill="auto"/>
        </w:rPr>
        <w:t>自然资源局及相关行业主管部门</w:t>
      </w:r>
      <w:r>
        <w:rPr>
          <w:rFonts w:hint="eastAsia" w:ascii="仿宋_GB2312" w:hAnsi="仿宋_GB2312" w:eastAsia="仿宋_GB2312" w:cs="仿宋_GB2312"/>
          <w:color w:val="auto"/>
          <w:spacing w:val="0"/>
          <w:w w:val="100"/>
          <w:position w:val="0"/>
          <w:sz w:val="32"/>
          <w:szCs w:val="32"/>
          <w:shd w:val="clear" w:color="auto" w:fill="auto"/>
          <w:lang w:eastAsia="zh-CN"/>
        </w:rPr>
        <w:t>依法处理。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pacing w:val="0"/>
          <w:w w:val="100"/>
          <w:position w:val="0"/>
          <w:sz w:val="32"/>
          <w:szCs w:val="32"/>
          <w:shd w:val="clear" w:color="auto" w:fill="auto"/>
          <w:lang w:eastAsia="zh-CN"/>
        </w:rPr>
      </w:pPr>
      <w:r>
        <w:rPr>
          <w:rFonts w:hint="eastAsia" w:ascii="仿宋_GB2312" w:hAnsi="仿宋_GB2312" w:eastAsia="仿宋_GB2312" w:cs="仿宋_GB2312"/>
          <w:color w:val="auto"/>
          <w:spacing w:val="0"/>
          <w:w w:val="100"/>
          <w:position w:val="0"/>
          <w:sz w:val="32"/>
          <w:szCs w:val="32"/>
          <w:shd w:val="clear" w:color="auto" w:fill="auto"/>
          <w:lang w:eastAsia="zh-CN"/>
        </w:rPr>
        <w:t>各有关部门应加强协调监管，严厉打击未经批准擅自处置、超范围滥采乱挖等违法行为，构成犯罪的移交司法机关追究刑事责任。</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第八条 </w:t>
      </w:r>
      <w:r>
        <w:rPr>
          <w:rFonts w:hint="eastAsia" w:ascii="仿宋_GB2312" w:hAnsi="仿宋_GB2312" w:eastAsia="仿宋_GB2312" w:cs="仿宋_GB2312"/>
          <w:b/>
          <w:bCs/>
          <w:color w:val="auto"/>
          <w:spacing w:val="0"/>
          <w:w w:val="100"/>
          <w:position w:val="0"/>
          <w:sz w:val="32"/>
          <w:szCs w:val="32"/>
          <w:shd w:val="clear" w:color="auto" w:fill="auto"/>
          <w:lang w:eastAsia="zh-CN"/>
        </w:rPr>
        <w:t>特殊情形处理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position w:val="0"/>
          <w:sz w:val="32"/>
          <w:szCs w:val="32"/>
          <w:shd w:val="clear" w:color="auto" w:fill="auto"/>
        </w:rPr>
        <w:t>在办法实施前已动工但尚未完工的工程建设项目，其尚未采挖的砂石土可按本办法</w:t>
      </w:r>
      <w:r>
        <w:rPr>
          <w:rFonts w:hint="eastAsia" w:ascii="仿宋_GB2312" w:hAnsi="仿宋_GB2312" w:eastAsia="仿宋_GB2312" w:cs="仿宋_GB2312"/>
          <w:color w:val="auto"/>
          <w:spacing w:val="0"/>
          <w:w w:val="100"/>
          <w:position w:val="0"/>
          <w:sz w:val="32"/>
          <w:szCs w:val="32"/>
          <w:shd w:val="clear" w:color="auto" w:fill="auto"/>
          <w:lang w:eastAsia="zh-CN"/>
        </w:rPr>
        <w:t>规定</w:t>
      </w:r>
      <w:r>
        <w:rPr>
          <w:rFonts w:hint="eastAsia" w:ascii="仿宋_GB2312" w:hAnsi="仿宋_GB2312" w:eastAsia="仿宋_GB2312" w:cs="仿宋_GB2312"/>
          <w:color w:val="auto"/>
          <w:spacing w:val="0"/>
          <w:w w:val="100"/>
          <w:position w:val="0"/>
          <w:sz w:val="32"/>
          <w:szCs w:val="32"/>
          <w:shd w:val="clear" w:color="auto" w:fill="auto"/>
        </w:rPr>
        <w:t>办理</w:t>
      </w:r>
      <w:r>
        <w:rPr>
          <w:rFonts w:hint="eastAsia" w:ascii="仿宋_GB2312" w:hAnsi="仿宋_GB2312" w:eastAsia="仿宋_GB2312" w:cs="仿宋_GB2312"/>
          <w:color w:val="auto"/>
          <w:spacing w:val="0"/>
          <w:w w:val="100"/>
          <w:position w:val="0"/>
          <w:sz w:val="32"/>
          <w:szCs w:val="32"/>
          <w:shd w:val="clear" w:color="auto" w:fill="auto"/>
          <w:lang w:eastAsia="zh-CN"/>
        </w:rPr>
        <w:t>；已处置但未完成的，按原批准方案或者合同约定继续执行，监管工作参照本办法要求落实。</w:t>
      </w:r>
      <w:r>
        <w:rPr>
          <w:rFonts w:hint="eastAsia" w:ascii="仿宋_GB2312" w:hAnsi="仿宋_GB2312" w:eastAsia="仿宋_GB2312" w:cs="仿宋_GB2312"/>
          <w:color w:val="auto"/>
          <w:spacing w:val="0"/>
          <w:w w:val="100"/>
          <w:position w:val="0"/>
          <w:sz w:val="32"/>
          <w:szCs w:val="32"/>
          <w:shd w:val="clear" w:color="auto" w:fill="auto"/>
        </w:rPr>
        <w:t>其他工程建设项目</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lang w:val="en-US" w:eastAsia="zh-CN"/>
        </w:rPr>
        <w:t>采矿权人履行生态修复义务涉及</w:t>
      </w:r>
      <w:r>
        <w:rPr>
          <w:rFonts w:hint="eastAsia" w:ascii="仿宋_GB2312" w:hAnsi="仿宋_GB2312" w:eastAsia="仿宋_GB2312" w:cs="仿宋_GB2312"/>
          <w:color w:val="auto"/>
          <w:spacing w:val="0"/>
          <w:w w:val="100"/>
          <w:position w:val="0"/>
          <w:sz w:val="32"/>
          <w:szCs w:val="32"/>
          <w:shd w:val="clear" w:color="auto" w:fill="auto"/>
        </w:rPr>
        <w:t>砂石土利用管理</w:t>
      </w:r>
      <w:r>
        <w:rPr>
          <w:rFonts w:hint="eastAsia" w:ascii="仿宋_GB2312" w:hAnsi="仿宋_GB2312" w:eastAsia="仿宋_GB2312" w:cs="仿宋_GB2312"/>
          <w:color w:val="auto"/>
          <w:spacing w:val="0"/>
          <w:w w:val="100"/>
          <w:position w:val="0"/>
          <w:sz w:val="32"/>
          <w:szCs w:val="32"/>
          <w:shd w:val="clear" w:color="auto" w:fill="auto"/>
          <w:lang w:eastAsia="zh-CN"/>
        </w:rPr>
        <w:t>，</w:t>
      </w:r>
      <w:r>
        <w:rPr>
          <w:rFonts w:hint="eastAsia" w:ascii="仿宋_GB2312" w:hAnsi="仿宋_GB2312" w:eastAsia="仿宋_GB2312" w:cs="仿宋_GB2312"/>
          <w:color w:val="auto"/>
          <w:spacing w:val="0"/>
          <w:w w:val="100"/>
          <w:position w:val="0"/>
          <w:sz w:val="32"/>
          <w:szCs w:val="32"/>
          <w:shd w:val="clear" w:color="auto" w:fill="auto"/>
        </w:rPr>
        <w:t>可参照本办法</w:t>
      </w:r>
      <w:r>
        <w:rPr>
          <w:rFonts w:hint="eastAsia" w:ascii="仿宋_GB2312" w:hAnsi="仿宋_GB2312" w:eastAsia="仿宋_GB2312" w:cs="仿宋_GB2312"/>
          <w:color w:val="auto"/>
          <w:spacing w:val="0"/>
          <w:w w:val="100"/>
          <w:position w:val="0"/>
          <w:sz w:val="32"/>
          <w:szCs w:val="32"/>
          <w:shd w:val="clear" w:color="auto" w:fill="auto"/>
          <w:lang w:eastAsia="zh-CN"/>
        </w:rPr>
        <w:t>执行</w:t>
      </w:r>
      <w:r>
        <w:rPr>
          <w:rFonts w:hint="eastAsia" w:ascii="仿宋_GB2312" w:hAnsi="仿宋_GB2312" w:eastAsia="仿宋_GB2312" w:cs="仿宋_GB2312"/>
          <w:color w:val="auto"/>
          <w:spacing w:val="0"/>
          <w:w w:val="100"/>
          <w:position w:val="0"/>
          <w:sz w:val="32"/>
          <w:szCs w:val="32"/>
          <w:shd w:val="clear" w:color="auto" w:fill="auto"/>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eastAsia="zh-CN"/>
        </w:rPr>
      </w:pPr>
      <w:r>
        <w:rPr>
          <w:rFonts w:hint="eastAsia" w:ascii="仿宋_GB2312" w:hAnsi="仿宋_GB2312" w:eastAsia="仿宋_GB2312" w:cs="仿宋_GB2312"/>
          <w:b/>
          <w:bCs/>
          <w:color w:val="auto"/>
          <w:spacing w:val="0"/>
          <w:w w:val="100"/>
          <w:position w:val="0"/>
          <w:sz w:val="32"/>
          <w:szCs w:val="32"/>
          <w:shd w:val="clear" w:color="auto" w:fill="auto"/>
        </w:rPr>
        <w:t xml:space="preserve">第九条 </w:t>
      </w:r>
      <w:r>
        <w:rPr>
          <w:rFonts w:hint="eastAsia" w:ascii="仿宋_GB2312" w:hAnsi="仿宋_GB2312" w:eastAsia="仿宋_GB2312" w:cs="仿宋_GB2312"/>
          <w:b/>
          <w:bCs/>
          <w:color w:val="auto"/>
          <w:spacing w:val="0"/>
          <w:w w:val="100"/>
          <w:position w:val="0"/>
          <w:sz w:val="32"/>
          <w:szCs w:val="32"/>
          <w:shd w:val="clear" w:color="auto" w:fill="auto"/>
          <w:lang w:eastAsia="zh-CN"/>
        </w:rPr>
        <w:t>自用砂石土管理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position w:val="0"/>
          <w:sz w:val="32"/>
          <w:szCs w:val="32"/>
          <w:shd w:val="clear" w:color="auto" w:fill="auto"/>
        </w:rPr>
        <w:t>项目自用部分是指：在工程建设项目批准占地范围内，因工程需要动用或采挖，不以获取矿产品营利为目的，不将其投入流通领域，</w:t>
      </w:r>
      <w:r>
        <w:rPr>
          <w:rFonts w:hint="eastAsia" w:ascii="仿宋_GB2312" w:hAnsi="仿宋_GB2312" w:eastAsia="仿宋_GB2312" w:cs="仿宋_GB2312"/>
          <w:color w:val="auto"/>
          <w:spacing w:val="0"/>
          <w:w w:val="100"/>
          <w:position w:val="0"/>
          <w:sz w:val="32"/>
          <w:szCs w:val="32"/>
          <w:shd w:val="clear" w:color="auto" w:fill="auto"/>
          <w:lang w:eastAsia="zh-CN"/>
        </w:rPr>
        <w:t>仅</w:t>
      </w:r>
      <w:r>
        <w:rPr>
          <w:rFonts w:hint="eastAsia" w:ascii="仿宋_GB2312" w:hAnsi="仿宋_GB2312" w:eastAsia="仿宋_GB2312" w:cs="仿宋_GB2312"/>
          <w:color w:val="auto"/>
          <w:spacing w:val="0"/>
          <w:w w:val="100"/>
          <w:position w:val="0"/>
          <w:sz w:val="32"/>
          <w:szCs w:val="32"/>
          <w:shd w:val="clear" w:color="auto" w:fill="auto"/>
        </w:rPr>
        <w:t>用于本工程建设项目（一般包括场地平整回填、排水设施、挡土墙和护坡砌筑等基础用途）的砂石土。项目自用的砂石土资源应纳入成本管理，在设计施工方案、预算中</w:t>
      </w:r>
      <w:r>
        <w:rPr>
          <w:rFonts w:hint="eastAsia" w:ascii="仿宋_GB2312" w:hAnsi="仿宋_GB2312" w:eastAsia="仿宋_GB2312" w:cs="仿宋_GB2312"/>
          <w:color w:val="auto"/>
          <w:spacing w:val="0"/>
          <w:w w:val="100"/>
          <w:position w:val="0"/>
          <w:sz w:val="32"/>
          <w:szCs w:val="32"/>
          <w:shd w:val="clear" w:color="auto" w:fill="auto"/>
          <w:lang w:eastAsia="zh-CN"/>
        </w:rPr>
        <w:t>明确</w:t>
      </w:r>
      <w:r>
        <w:rPr>
          <w:rFonts w:hint="eastAsia" w:ascii="仿宋_GB2312" w:hAnsi="仿宋_GB2312" w:eastAsia="仿宋_GB2312" w:cs="仿宋_GB2312"/>
          <w:color w:val="auto"/>
          <w:spacing w:val="0"/>
          <w:w w:val="100"/>
          <w:position w:val="0"/>
          <w:sz w:val="32"/>
          <w:szCs w:val="32"/>
          <w:shd w:val="clear" w:color="auto" w:fill="auto"/>
        </w:rPr>
        <w:t>体现，不得自行销售，不得用于其他工程建设项目。在经过</w:t>
      </w:r>
      <w:r>
        <w:rPr>
          <w:rFonts w:hint="eastAsia" w:ascii="仿宋_GB2312" w:hAnsi="仿宋_GB2312" w:eastAsia="仿宋_GB2312" w:cs="仿宋_GB2312"/>
          <w:color w:val="auto"/>
          <w:spacing w:val="0"/>
          <w:w w:val="100"/>
          <w:position w:val="0"/>
          <w:sz w:val="32"/>
          <w:szCs w:val="32"/>
          <w:shd w:val="clear" w:color="auto" w:fill="auto"/>
          <w:lang w:val="en-US" w:eastAsia="zh-CN"/>
        </w:rPr>
        <w:t>市</w:t>
      </w:r>
      <w:r>
        <w:rPr>
          <w:rFonts w:hint="eastAsia" w:ascii="仿宋_GB2312" w:hAnsi="仿宋_GB2312" w:eastAsia="仿宋_GB2312" w:cs="仿宋_GB2312"/>
          <w:color w:val="auto"/>
          <w:spacing w:val="0"/>
          <w:w w:val="100"/>
          <w:position w:val="0"/>
          <w:sz w:val="32"/>
          <w:szCs w:val="32"/>
          <w:shd w:val="clear" w:color="auto" w:fill="auto"/>
        </w:rPr>
        <w:t>政府或其指定的管理部门公开处置前，原则上不得</w:t>
      </w:r>
      <w:r>
        <w:rPr>
          <w:rFonts w:hint="eastAsia" w:ascii="仿宋_GB2312" w:hAnsi="仿宋_GB2312" w:eastAsia="仿宋_GB2312" w:cs="仿宋_GB2312"/>
          <w:color w:val="auto"/>
          <w:spacing w:val="0"/>
          <w:w w:val="100"/>
          <w:position w:val="0"/>
          <w:sz w:val="32"/>
          <w:szCs w:val="32"/>
          <w:shd w:val="clear" w:color="auto" w:fill="auto"/>
          <w:lang w:eastAsia="zh-CN"/>
        </w:rPr>
        <w:t>对自用外剩余砂石土</w:t>
      </w:r>
      <w:r>
        <w:rPr>
          <w:rFonts w:hint="eastAsia" w:ascii="仿宋_GB2312" w:hAnsi="仿宋_GB2312" w:eastAsia="仿宋_GB2312" w:cs="仿宋_GB2312"/>
          <w:color w:val="auto"/>
          <w:spacing w:val="0"/>
          <w:w w:val="100"/>
          <w:position w:val="0"/>
          <w:sz w:val="32"/>
          <w:szCs w:val="32"/>
          <w:shd w:val="clear" w:color="auto" w:fill="auto"/>
        </w:rPr>
        <w:t>进行机械加工生产建筑碎石和机制砂。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b/>
          <w:bCs/>
          <w:color w:val="auto"/>
          <w:spacing w:val="0"/>
          <w:w w:val="100"/>
          <w:position w:val="0"/>
          <w:sz w:val="32"/>
          <w:szCs w:val="32"/>
          <w:shd w:val="clear" w:color="auto" w:fill="auto"/>
          <w:lang w:val="en-US" w:eastAsia="zh-CN"/>
        </w:rPr>
      </w:pPr>
      <w:r>
        <w:rPr>
          <w:rFonts w:hint="eastAsia" w:ascii="仿宋_GB2312" w:hAnsi="仿宋_GB2312" w:eastAsia="仿宋_GB2312" w:cs="仿宋_GB2312"/>
          <w:b/>
          <w:bCs/>
          <w:color w:val="auto"/>
          <w:spacing w:val="0"/>
          <w:w w:val="100"/>
          <w:position w:val="0"/>
          <w:sz w:val="32"/>
          <w:szCs w:val="32"/>
          <w:shd w:val="clear" w:color="auto" w:fill="auto"/>
        </w:rPr>
        <w:t>第十条</w:t>
      </w:r>
      <w:r>
        <w:rPr>
          <w:rFonts w:hint="eastAsia" w:ascii="仿宋_GB2312" w:hAnsi="仿宋_GB2312" w:eastAsia="仿宋_GB2312" w:cs="仿宋_GB2312"/>
          <w:b/>
          <w:bCs/>
          <w:color w:val="auto"/>
          <w:spacing w:val="0"/>
          <w:w w:val="100"/>
          <w:position w:val="0"/>
          <w:sz w:val="32"/>
          <w:szCs w:val="32"/>
          <w:shd w:val="clear" w:color="auto" w:fill="auto"/>
          <w:lang w:val="en-US" w:eastAsia="zh-CN"/>
        </w:rPr>
        <w:t xml:space="preserve"> 附则</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540" w:lineRule="exact"/>
        <w:ind w:left="0" w:right="0" w:firstLine="658"/>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0"/>
          <w:w w:val="100"/>
          <w:position w:val="0"/>
          <w:sz w:val="32"/>
          <w:szCs w:val="32"/>
          <w:shd w:val="clear" w:color="auto" w:fill="auto"/>
        </w:rPr>
        <w:t>本办法自202</w:t>
      </w:r>
      <w:r>
        <w:rPr>
          <w:rFonts w:hint="eastAsia" w:ascii="仿宋_GB2312" w:hAnsi="仿宋_GB2312" w:eastAsia="仿宋_GB2312" w:cs="仿宋_GB2312"/>
          <w:color w:val="auto"/>
          <w:spacing w:val="0"/>
          <w:w w:val="100"/>
          <w:position w:val="0"/>
          <w:sz w:val="32"/>
          <w:szCs w:val="32"/>
          <w:shd w:val="clear" w:color="auto" w:fill="auto"/>
          <w:lang w:val="en-US" w:eastAsia="zh-CN"/>
        </w:rPr>
        <w:t>6</w:t>
      </w:r>
      <w:r>
        <w:rPr>
          <w:rFonts w:hint="eastAsia" w:ascii="仿宋_GB2312" w:hAnsi="仿宋_GB2312" w:eastAsia="仿宋_GB2312" w:cs="仿宋_GB2312"/>
          <w:color w:val="auto"/>
          <w:spacing w:val="0"/>
          <w:w w:val="100"/>
          <w:position w:val="0"/>
          <w:sz w:val="32"/>
          <w:szCs w:val="32"/>
          <w:shd w:val="clear" w:color="auto" w:fill="auto"/>
        </w:rPr>
        <w:t>年</w:t>
      </w:r>
      <w:r>
        <w:rPr>
          <w:rFonts w:hint="eastAsia" w:ascii="仿宋_GB2312" w:hAnsi="仿宋_GB2312" w:eastAsia="仿宋_GB2312" w:cs="仿宋_GB2312"/>
          <w:color w:val="auto"/>
          <w:spacing w:val="0"/>
          <w:w w:val="100"/>
          <w:position w:val="0"/>
          <w:sz w:val="32"/>
          <w:szCs w:val="32"/>
          <w:shd w:val="clear" w:color="auto" w:fill="auto"/>
          <w:lang w:val="en-US" w:eastAsia="zh-CN"/>
        </w:rPr>
        <w:t xml:space="preserve">  </w:t>
      </w:r>
      <w:r>
        <w:rPr>
          <w:rFonts w:hint="eastAsia" w:ascii="仿宋_GB2312" w:hAnsi="仿宋_GB2312" w:eastAsia="仿宋_GB2312" w:cs="仿宋_GB2312"/>
          <w:color w:val="auto"/>
          <w:spacing w:val="0"/>
          <w:w w:val="100"/>
          <w:position w:val="0"/>
          <w:sz w:val="32"/>
          <w:szCs w:val="32"/>
          <w:shd w:val="clear" w:color="auto" w:fill="auto"/>
        </w:rPr>
        <w:t>月</w:t>
      </w:r>
      <w:r>
        <w:rPr>
          <w:rFonts w:hint="eastAsia" w:ascii="仿宋_GB2312" w:hAnsi="仿宋_GB2312" w:eastAsia="仿宋_GB2312" w:cs="仿宋_GB2312"/>
          <w:color w:val="auto"/>
          <w:spacing w:val="0"/>
          <w:w w:val="100"/>
          <w:position w:val="0"/>
          <w:sz w:val="32"/>
          <w:szCs w:val="32"/>
          <w:shd w:val="clear" w:color="auto" w:fill="auto"/>
          <w:lang w:val="en-US" w:eastAsia="zh-CN"/>
        </w:rPr>
        <w:t xml:space="preserve">  </w:t>
      </w:r>
      <w:r>
        <w:rPr>
          <w:rFonts w:hint="eastAsia" w:ascii="仿宋_GB2312" w:hAnsi="仿宋_GB2312" w:eastAsia="仿宋_GB2312" w:cs="仿宋_GB2312"/>
          <w:color w:val="auto"/>
          <w:spacing w:val="0"/>
          <w:w w:val="100"/>
          <w:position w:val="0"/>
          <w:sz w:val="32"/>
          <w:szCs w:val="32"/>
          <w:shd w:val="clear" w:color="auto" w:fill="auto"/>
        </w:rPr>
        <w:t>日起实施，有效期</w:t>
      </w:r>
      <w:r>
        <w:rPr>
          <w:rFonts w:hint="eastAsia" w:ascii="仿宋_GB2312" w:hAnsi="仿宋_GB2312" w:eastAsia="仿宋_GB2312" w:cs="仿宋_GB2312"/>
          <w:color w:val="auto"/>
          <w:spacing w:val="0"/>
          <w:w w:val="100"/>
          <w:position w:val="0"/>
          <w:sz w:val="32"/>
          <w:szCs w:val="32"/>
          <w:shd w:val="clear" w:color="auto" w:fill="auto"/>
          <w:lang w:val="en-US" w:eastAsia="zh-CN"/>
        </w:rPr>
        <w:t>3</w:t>
      </w:r>
      <w:r>
        <w:rPr>
          <w:rFonts w:hint="eastAsia" w:ascii="仿宋_GB2312" w:hAnsi="仿宋_GB2312" w:eastAsia="仿宋_GB2312" w:cs="仿宋_GB2312"/>
          <w:color w:val="auto"/>
          <w:spacing w:val="0"/>
          <w:w w:val="100"/>
          <w:position w:val="0"/>
          <w:sz w:val="32"/>
          <w:szCs w:val="32"/>
          <w:shd w:val="clear" w:color="auto" w:fill="auto"/>
        </w:rPr>
        <w:t>年。由连州市矿产资源管理委员会办公室负责解释。</w:t>
      </w:r>
    </w:p>
    <w:sectPr>
      <w:footerReference r:id="rId7" w:type="first"/>
      <w:footerReference r:id="rId5" w:type="default"/>
      <w:footerReference r:id="rId6" w:type="even"/>
      <w:footnotePr>
        <w:numFmt w:val="decimal"/>
      </w:footnotePr>
      <w:pgSz w:w="11900" w:h="16840"/>
      <w:pgMar w:top="1340" w:right="1729" w:bottom="1826" w:left="1747" w:header="0" w:footer="3" w:gutter="0"/>
      <w:pgNumType w:start="1"/>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5975350</wp:posOffset>
              </wp:positionH>
              <wp:positionV relativeFrom="page">
                <wp:posOffset>9961245</wp:posOffset>
              </wp:positionV>
              <wp:extent cx="433070" cy="121920"/>
              <wp:effectExtent l="0" t="0" r="0" b="0"/>
              <wp:wrapNone/>
              <wp:docPr id="2" name="Shape 2"/>
              <wp:cNvGraphicFramePr/>
              <a:graphic xmlns:a="http://schemas.openxmlformats.org/drawingml/2006/main">
                <a:graphicData uri="http://schemas.microsoft.com/office/word/2010/wordprocessingShape">
                  <wps:wsp>
                    <wps:cNvSpPr txBox="1"/>
                    <wps:spPr>
                      <a:xfrm>
                        <a:off x="0" y="0"/>
                        <a:ext cx="433070" cy="121920"/>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shd w:val="clear" w:color="auto" w:fill="auto"/>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shd w:val="clear" w:color="auto" w:fill="auto"/>
                            </w:rPr>
                            <w:t>#</w:t>
                          </w:r>
                          <w:r>
                            <w:rPr>
                              <w:rFonts w:ascii="宋体" w:hAnsi="宋体" w:eastAsia="宋体" w:cs="宋体"/>
                              <w:color w:val="000000"/>
                              <w:spacing w:val="0"/>
                              <w:w w:val="100"/>
                              <w:position w:val="0"/>
                              <w:sz w:val="28"/>
                              <w:szCs w:val="28"/>
                              <w:shd w:val="clear" w:color="auto" w:fill="auto"/>
                            </w:rPr>
                            <w:fldChar w:fldCharType="end"/>
                          </w:r>
                          <w:r>
                            <w:rPr>
                              <w:rFonts w:ascii="宋体" w:hAnsi="宋体" w:eastAsia="宋体" w:cs="宋体"/>
                              <w:color w:val="000000"/>
                              <w:spacing w:val="0"/>
                              <w:w w:val="100"/>
                              <w:position w:val="0"/>
                              <w:sz w:val="28"/>
                              <w:szCs w:val="28"/>
                              <w:shd w:val="clear" w:color="auto" w:fill="auto"/>
                            </w:rPr>
                            <w:t>-</w:t>
                          </w:r>
                        </w:p>
                      </w:txbxContent>
                    </wps:txbx>
                    <wps:bodyPr wrap="none" lIns="0" tIns="0" rIns="0" bIns="0">
                      <a:spAutoFit/>
                    </wps:bodyPr>
                  </wps:wsp>
                </a:graphicData>
              </a:graphic>
            </wp:anchor>
          </w:drawing>
        </mc:Choice>
        <mc:Fallback>
          <w:pict>
            <v:shape id="Shape 2" o:spid="_x0000_s1026" o:spt="202" type="#_x0000_t202" style="position:absolute;left:0pt;margin-left:470.5pt;margin-top:784.35pt;height:9.6pt;width:34.1pt;mso-position-horizontal-relative:page;mso-position-vertical-relative:page;mso-wrap-style:none;z-index:-440400896;mso-width-relative:page;mso-height-relative:page;" filled="f" stroked="f" coordsize="21600,21600" o:gfxdata="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CoFHKe2AAAAA4BAAAPAAAAAAAAAAEAIAAAACIAAABkcnMvZG93&#10;bnJldi54bWxQSwECFAAUAAAACACHTuJAEERKIo4BAAAhAwAADgAAAAAAAAABACAAAAAnAQAAZHJz&#10;L2Uyb0RvYy54bWxQSwUGAAAAAAYABgBZAQAAJw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shd w:val="clear" w:color="auto" w:fill="auto"/>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shd w:val="clear" w:color="auto" w:fill="auto"/>
                      </w:rPr>
                      <w:t>#</w:t>
                    </w:r>
                    <w:r>
                      <w:rPr>
                        <w:rFonts w:ascii="宋体" w:hAnsi="宋体" w:eastAsia="宋体" w:cs="宋体"/>
                        <w:color w:val="000000"/>
                        <w:spacing w:val="0"/>
                        <w:w w:val="100"/>
                        <w:position w:val="0"/>
                        <w:sz w:val="28"/>
                        <w:szCs w:val="28"/>
                        <w:shd w:val="clear" w:color="auto" w:fill="auto"/>
                      </w:rPr>
                      <w:fldChar w:fldCharType="end"/>
                    </w:r>
                    <w:r>
                      <w:rPr>
                        <w:rFonts w:ascii="宋体" w:hAnsi="宋体" w:eastAsia="宋体" w:cs="宋体"/>
                        <w:color w:val="000000"/>
                        <w:spacing w:val="0"/>
                        <w:w w:val="100"/>
                        <w:position w:val="0"/>
                        <w:sz w:val="28"/>
                        <w:szCs w:val="28"/>
                        <w:shd w:val="clear" w:color="auto" w:fill="auto"/>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1156335</wp:posOffset>
              </wp:positionH>
              <wp:positionV relativeFrom="page">
                <wp:posOffset>9961245</wp:posOffset>
              </wp:positionV>
              <wp:extent cx="433070" cy="118745"/>
              <wp:effectExtent l="0" t="0" r="0" b="0"/>
              <wp:wrapNone/>
              <wp:docPr id="4" name="Shape 4"/>
              <wp:cNvGraphicFramePr/>
              <a:graphic xmlns:a="http://schemas.openxmlformats.org/drawingml/2006/main">
                <a:graphicData uri="http://schemas.microsoft.com/office/word/2010/wordprocessingShape">
                  <wps:wsp>
                    <wps:cNvSpPr txBox="1"/>
                    <wps:spPr>
                      <a:xfrm>
                        <a:off x="0" y="0"/>
                        <a:ext cx="433070" cy="11874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shd w:val="clear" w:color="auto" w:fill="auto"/>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shd w:val="clear" w:color="auto" w:fill="auto"/>
                            </w:rPr>
                            <w:t>#</w:t>
                          </w:r>
                          <w:r>
                            <w:rPr>
                              <w:rFonts w:ascii="宋体" w:hAnsi="宋体" w:eastAsia="宋体" w:cs="宋体"/>
                              <w:color w:val="000000"/>
                              <w:spacing w:val="0"/>
                              <w:w w:val="100"/>
                              <w:position w:val="0"/>
                              <w:sz w:val="28"/>
                              <w:szCs w:val="28"/>
                              <w:shd w:val="clear" w:color="auto" w:fill="auto"/>
                            </w:rPr>
                            <w:fldChar w:fldCharType="end"/>
                          </w:r>
                          <w:r>
                            <w:rPr>
                              <w:rFonts w:ascii="宋体" w:hAnsi="宋体" w:eastAsia="宋体" w:cs="宋体"/>
                              <w:color w:val="000000"/>
                              <w:spacing w:val="0"/>
                              <w:w w:val="100"/>
                              <w:position w:val="0"/>
                              <w:sz w:val="28"/>
                              <w:szCs w:val="28"/>
                              <w:shd w:val="clear" w:color="auto" w:fill="auto"/>
                            </w:rPr>
                            <w:t>-</w:t>
                          </w:r>
                        </w:p>
                      </w:txbxContent>
                    </wps:txbx>
                    <wps:bodyPr wrap="none" lIns="0" tIns="0" rIns="0" bIns="0">
                      <a:spAutoFit/>
                    </wps:bodyPr>
                  </wps:wsp>
                </a:graphicData>
              </a:graphic>
            </wp:anchor>
          </w:drawing>
        </mc:Choice>
        <mc:Fallback>
          <w:pict>
            <v:shape id="Shape 4" o:spid="_x0000_s1026" o:spt="202" type="#_x0000_t202" style="position:absolute;left:0pt;margin-left:91.05pt;margin-top:784.35pt;height:9.35pt;width:34.1pt;mso-position-horizontal-relative:page;mso-position-vertical-relative:page;mso-wrap-style:none;z-index:-440400896;mso-width-relative:page;mso-height-relative:page;" filled="f" stroked="f" coordsize="21600,21600" o:gfxdata="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BJRfZT2AAAAA0BAAAPAAAAAAAAAAEAIAAAACIAAABkcnMvZG93&#10;bnJldi54bWxQSwECFAAUAAAACACHTuJAQSt83I4BAAAhAwAADgAAAAAAAAABACAAAAAnAQAAZHJz&#10;L2Uyb0RvYy54bWxQSwUGAAAAAAYABgBZAQAAJw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shd w:val="clear" w:color="auto" w:fill="auto"/>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shd w:val="clear" w:color="auto" w:fill="auto"/>
                      </w:rPr>
                      <w:t>#</w:t>
                    </w:r>
                    <w:r>
                      <w:rPr>
                        <w:rFonts w:ascii="宋体" w:hAnsi="宋体" w:eastAsia="宋体" w:cs="宋体"/>
                        <w:color w:val="000000"/>
                        <w:spacing w:val="0"/>
                        <w:w w:val="100"/>
                        <w:position w:val="0"/>
                        <w:sz w:val="28"/>
                        <w:szCs w:val="28"/>
                        <w:shd w:val="clear" w:color="auto" w:fill="auto"/>
                      </w:rPr>
                      <w:fldChar w:fldCharType="end"/>
                    </w:r>
                    <w:r>
                      <w:rPr>
                        <w:rFonts w:ascii="宋体" w:hAnsi="宋体" w:eastAsia="宋体" w:cs="宋体"/>
                        <w:color w:val="000000"/>
                        <w:spacing w:val="0"/>
                        <w:w w:val="100"/>
                        <w:position w:val="0"/>
                        <w:sz w:val="28"/>
                        <w:szCs w:val="28"/>
                        <w:shd w:val="clear" w:color="auto" w:fill="auto"/>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6170295</wp:posOffset>
              </wp:positionH>
              <wp:positionV relativeFrom="page">
                <wp:posOffset>9961245</wp:posOffset>
              </wp:positionV>
              <wp:extent cx="240665" cy="118745"/>
              <wp:effectExtent l="0" t="0" r="0" b="0"/>
              <wp:wrapNone/>
              <wp:docPr id="6" name="Shape 6"/>
              <wp:cNvGraphicFramePr/>
              <a:graphic xmlns:a="http://schemas.openxmlformats.org/drawingml/2006/main">
                <a:graphicData uri="http://schemas.microsoft.com/office/word/2010/wordprocessingShape">
                  <wps:wsp>
                    <wps:cNvSpPr txBox="1"/>
                    <wps:spPr>
                      <a:xfrm>
                        <a:off x="0" y="0"/>
                        <a:ext cx="240665" cy="11874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shd w:val="clear" w:color="auto" w:fill="auto"/>
                            </w:rPr>
                            <w:t>#</w:t>
                          </w:r>
                          <w:r>
                            <w:rPr>
                              <w:rFonts w:ascii="宋体" w:hAnsi="宋体" w:eastAsia="宋体" w:cs="宋体"/>
                              <w:color w:val="000000"/>
                              <w:spacing w:val="0"/>
                              <w:w w:val="100"/>
                              <w:position w:val="0"/>
                              <w:sz w:val="28"/>
                              <w:szCs w:val="28"/>
                              <w:shd w:val="clear" w:color="auto" w:fill="auto"/>
                            </w:rPr>
                            <w:fldChar w:fldCharType="end"/>
                          </w:r>
                          <w:r>
                            <w:rPr>
                              <w:rFonts w:ascii="宋体" w:hAnsi="宋体" w:eastAsia="宋体" w:cs="宋体"/>
                              <w:color w:val="000000"/>
                              <w:spacing w:val="0"/>
                              <w:w w:val="100"/>
                              <w:position w:val="0"/>
                              <w:sz w:val="28"/>
                              <w:szCs w:val="28"/>
                              <w:shd w:val="clear" w:color="auto" w:fill="auto"/>
                            </w:rPr>
                            <w:t>-</w:t>
                          </w:r>
                        </w:p>
                      </w:txbxContent>
                    </wps:txbx>
                    <wps:bodyPr wrap="none" lIns="0" tIns="0" rIns="0" bIns="0">
                      <a:spAutoFit/>
                    </wps:bodyPr>
                  </wps:wsp>
                </a:graphicData>
              </a:graphic>
            </wp:anchor>
          </w:drawing>
        </mc:Choice>
        <mc:Fallback>
          <w:pict>
            <v:shape id="Shape 6" o:spid="_x0000_s1026" o:spt="202" type="#_x0000_t202" style="position:absolute;left:0pt;margin-left:485.85pt;margin-top:784.35pt;height:9.35pt;width:18.95pt;mso-position-horizontal-relative:page;mso-position-vertical-relative:page;mso-wrap-style:none;z-index:-440400896;mso-width-relative:page;mso-height-relative:page;" filled="f" stroked="f" coordsize="21600,21600" o:gfxdata="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BJNW9h2AAAAA4BAAAPAAAAAAAAAAEAIAAAACIAAABkcnMv&#10;ZG93bnJldi54bWxQSwECFAAUAAAACACHTuJAhSRrr5EBAAAhAwAADgAAAAAAAAABACAAAAAnAQAA&#10;ZHJzL2Uyb0RvYy54bWxQSwUGAAAAAAYABgBZAQAAKgU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shd w:val="clear" w:color="auto" w:fill="auto"/>
                      </w:rPr>
                      <w:t>#</w:t>
                    </w:r>
                    <w:r>
                      <w:rPr>
                        <w:rFonts w:ascii="宋体" w:hAnsi="宋体" w:eastAsia="宋体" w:cs="宋体"/>
                        <w:color w:val="000000"/>
                        <w:spacing w:val="0"/>
                        <w:w w:val="100"/>
                        <w:position w:val="0"/>
                        <w:sz w:val="28"/>
                        <w:szCs w:val="28"/>
                        <w:shd w:val="clear" w:color="auto" w:fill="auto"/>
                      </w:rPr>
                      <w:fldChar w:fldCharType="end"/>
                    </w:r>
                    <w:r>
                      <w:rPr>
                        <w:rFonts w:ascii="宋体" w:hAnsi="宋体" w:eastAsia="宋体" w:cs="宋体"/>
                        <w:color w:val="000000"/>
                        <w:spacing w:val="0"/>
                        <w:w w:val="100"/>
                        <w:position w:val="0"/>
                        <w:sz w:val="28"/>
                        <w:szCs w:val="28"/>
                        <w:shd w:val="clear" w:color="auto" w:fill="auto"/>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rsids>
    <w:rsidRoot w:val="00000000"/>
    <w:rsid w:val="02FB6E38"/>
    <w:rsid w:val="06DE1000"/>
    <w:rsid w:val="09700769"/>
    <w:rsid w:val="0B0C1A9B"/>
    <w:rsid w:val="0C9640D0"/>
    <w:rsid w:val="0EEE288F"/>
    <w:rsid w:val="1017604E"/>
    <w:rsid w:val="155E1C9F"/>
    <w:rsid w:val="15C2303C"/>
    <w:rsid w:val="15D933B8"/>
    <w:rsid w:val="164E0EA1"/>
    <w:rsid w:val="19596EA7"/>
    <w:rsid w:val="1BCC3E73"/>
    <w:rsid w:val="1C53206D"/>
    <w:rsid w:val="1F66358C"/>
    <w:rsid w:val="21911184"/>
    <w:rsid w:val="22957705"/>
    <w:rsid w:val="245F7DB6"/>
    <w:rsid w:val="27644F1A"/>
    <w:rsid w:val="29041CA4"/>
    <w:rsid w:val="30303BEC"/>
    <w:rsid w:val="30A35353"/>
    <w:rsid w:val="30DC3E3B"/>
    <w:rsid w:val="31AC44FC"/>
    <w:rsid w:val="33AF3B4E"/>
    <w:rsid w:val="33EE0EB0"/>
    <w:rsid w:val="35F453A0"/>
    <w:rsid w:val="38134BA3"/>
    <w:rsid w:val="3AE35928"/>
    <w:rsid w:val="3B6604C6"/>
    <w:rsid w:val="3F744AC1"/>
    <w:rsid w:val="406234BA"/>
    <w:rsid w:val="408B707E"/>
    <w:rsid w:val="41291C8A"/>
    <w:rsid w:val="42AC33B3"/>
    <w:rsid w:val="48C8128D"/>
    <w:rsid w:val="4B1D0DA3"/>
    <w:rsid w:val="4DA4339F"/>
    <w:rsid w:val="4E0703E7"/>
    <w:rsid w:val="4EB53835"/>
    <w:rsid w:val="4EF117AB"/>
    <w:rsid w:val="551C5B81"/>
    <w:rsid w:val="574E746B"/>
    <w:rsid w:val="58B512E9"/>
    <w:rsid w:val="5DFC14FB"/>
    <w:rsid w:val="5E130ACB"/>
    <w:rsid w:val="600C46C6"/>
    <w:rsid w:val="628B5188"/>
    <w:rsid w:val="63597FB2"/>
    <w:rsid w:val="63DC5BCB"/>
    <w:rsid w:val="63DF3F8A"/>
    <w:rsid w:val="6754241F"/>
    <w:rsid w:val="6876535C"/>
    <w:rsid w:val="69F40D84"/>
    <w:rsid w:val="6BEA2CE3"/>
    <w:rsid w:val="6CFC7EF6"/>
    <w:rsid w:val="6DA752B8"/>
    <w:rsid w:val="6DBF4D06"/>
    <w:rsid w:val="701C3620"/>
    <w:rsid w:val="70BD19FB"/>
    <w:rsid w:val="70CE35A1"/>
    <w:rsid w:val="72C7765A"/>
    <w:rsid w:val="757E06A6"/>
    <w:rsid w:val="763E7B06"/>
    <w:rsid w:val="7791051D"/>
    <w:rsid w:val="78F9205B"/>
    <w:rsid w:val="79621E4F"/>
    <w:rsid w:val="79A670E9"/>
    <w:rsid w:val="7A5F40E6"/>
    <w:rsid w:val="7AB14CB0"/>
    <w:rsid w:val="7AEE76BF"/>
    <w:rsid w:val="7D2539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等线" w:hAnsi="等线" w:eastAsia="等线" w:cs="等线"/>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等线" w:hAnsi="等线" w:eastAsia="等线" w:cs="等线"/>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customStyle="1" w:styleId="4">
    <w:name w:val="正文文本 (2)_"/>
    <w:basedOn w:val="3"/>
    <w:link w:val="5"/>
    <w:qFormat/>
    <w:uiPriority w:val="0"/>
    <w:rPr>
      <w:rFonts w:ascii="Arial" w:hAnsi="Arial" w:eastAsia="Arial" w:cs="Arial"/>
      <w:sz w:val="32"/>
      <w:szCs w:val="32"/>
      <w:u w:val="none"/>
    </w:rPr>
  </w:style>
  <w:style w:type="paragraph" w:customStyle="1" w:styleId="5">
    <w:name w:val="正文文本 (2)"/>
    <w:basedOn w:val="1"/>
    <w:link w:val="4"/>
    <w:qFormat/>
    <w:uiPriority w:val="0"/>
    <w:pPr>
      <w:widowControl w:val="0"/>
      <w:shd w:val="clear" w:color="auto" w:fill="auto"/>
      <w:spacing w:before="200" w:after="1800"/>
      <w:jc w:val="right"/>
    </w:pPr>
    <w:rPr>
      <w:rFonts w:ascii="Arial" w:hAnsi="Arial" w:eastAsia="Arial" w:cs="Arial"/>
      <w:sz w:val="32"/>
      <w:szCs w:val="32"/>
      <w:u w:val="none"/>
    </w:rPr>
  </w:style>
  <w:style w:type="character" w:customStyle="1" w:styleId="6">
    <w:name w:val="页眉或页脚 (2)_"/>
    <w:basedOn w:val="3"/>
    <w:link w:val="7"/>
    <w:qFormat/>
    <w:uiPriority w:val="0"/>
    <w:rPr>
      <w:rFonts w:ascii="Times New Roman" w:hAnsi="Times New Roman" w:eastAsia="Times New Roman" w:cs="Times New Roman"/>
      <w:sz w:val="20"/>
      <w:szCs w:val="20"/>
      <w:u w:val="none"/>
      <w:lang w:val="zh-CN" w:eastAsia="zh-CN" w:bidi="zh-CN"/>
    </w:rPr>
  </w:style>
  <w:style w:type="paragraph" w:customStyle="1" w:styleId="7">
    <w:name w:val="页眉或页脚 (2)"/>
    <w:basedOn w:val="1"/>
    <w:link w:val="6"/>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character" w:customStyle="1" w:styleId="8">
    <w:name w:val="标题 #1_"/>
    <w:basedOn w:val="3"/>
    <w:link w:val="9"/>
    <w:qFormat/>
    <w:uiPriority w:val="0"/>
    <w:rPr>
      <w:rFonts w:ascii="宋体" w:hAnsi="宋体" w:eastAsia="宋体" w:cs="宋体"/>
      <w:b/>
      <w:bCs/>
      <w:color w:val="FF0000"/>
      <w:sz w:val="86"/>
      <w:szCs w:val="86"/>
      <w:u w:val="none"/>
      <w:lang w:val="zh-CN" w:eastAsia="zh-CN" w:bidi="zh-CN"/>
    </w:rPr>
  </w:style>
  <w:style w:type="paragraph" w:customStyle="1" w:styleId="9">
    <w:name w:val="标题 #1"/>
    <w:basedOn w:val="1"/>
    <w:link w:val="8"/>
    <w:qFormat/>
    <w:uiPriority w:val="0"/>
    <w:pPr>
      <w:widowControl w:val="0"/>
      <w:shd w:val="clear" w:color="auto" w:fill="auto"/>
      <w:spacing w:after="820"/>
      <w:jc w:val="center"/>
      <w:outlineLvl w:val="0"/>
    </w:pPr>
    <w:rPr>
      <w:rFonts w:ascii="宋体" w:hAnsi="宋体" w:eastAsia="宋体" w:cs="宋体"/>
      <w:b/>
      <w:bCs/>
      <w:color w:val="FF0000"/>
      <w:sz w:val="86"/>
      <w:szCs w:val="86"/>
      <w:u w:val="none"/>
      <w:lang w:val="zh-CN" w:eastAsia="zh-CN" w:bidi="zh-CN"/>
    </w:rPr>
  </w:style>
  <w:style w:type="character" w:customStyle="1" w:styleId="10">
    <w:name w:val="正文文本_"/>
    <w:basedOn w:val="3"/>
    <w:link w:val="11"/>
    <w:qFormat/>
    <w:uiPriority w:val="0"/>
    <w:rPr>
      <w:rFonts w:ascii="宋体" w:hAnsi="宋体" w:eastAsia="宋体" w:cs="宋体"/>
      <w:sz w:val="30"/>
      <w:szCs w:val="30"/>
      <w:u w:val="none"/>
      <w:lang w:val="zh-CN" w:eastAsia="zh-CN" w:bidi="zh-CN"/>
    </w:rPr>
  </w:style>
  <w:style w:type="paragraph" w:customStyle="1" w:styleId="11">
    <w:name w:val="正文文本1"/>
    <w:basedOn w:val="1"/>
    <w:link w:val="10"/>
    <w:qFormat/>
    <w:uiPriority w:val="0"/>
    <w:pPr>
      <w:widowControl w:val="0"/>
      <w:shd w:val="clear" w:color="auto" w:fill="auto"/>
      <w:spacing w:line="394" w:lineRule="auto"/>
      <w:ind w:firstLine="400"/>
    </w:pPr>
    <w:rPr>
      <w:rFonts w:ascii="宋体" w:hAnsi="宋体" w:eastAsia="宋体" w:cs="宋体"/>
      <w:sz w:val="30"/>
      <w:szCs w:val="30"/>
      <w:u w:val="none"/>
      <w:lang w:val="zh-CN" w:eastAsia="zh-CN" w:bidi="zh-CN"/>
    </w:rPr>
  </w:style>
  <w:style w:type="character" w:customStyle="1" w:styleId="12">
    <w:name w:val="标题 #2_"/>
    <w:basedOn w:val="3"/>
    <w:link w:val="13"/>
    <w:qFormat/>
    <w:uiPriority w:val="0"/>
    <w:rPr>
      <w:rFonts w:ascii="宋体" w:hAnsi="宋体" w:eastAsia="宋体" w:cs="宋体"/>
      <w:sz w:val="44"/>
      <w:szCs w:val="44"/>
      <w:u w:val="none"/>
      <w:lang w:val="zh-CN" w:eastAsia="zh-CN" w:bidi="zh-CN"/>
    </w:rPr>
  </w:style>
  <w:style w:type="paragraph" w:customStyle="1" w:styleId="13">
    <w:name w:val="标题 #2"/>
    <w:basedOn w:val="1"/>
    <w:link w:val="12"/>
    <w:qFormat/>
    <w:uiPriority w:val="0"/>
    <w:pPr>
      <w:widowControl w:val="0"/>
      <w:shd w:val="clear" w:color="auto" w:fill="auto"/>
      <w:spacing w:after="580" w:line="658" w:lineRule="exact"/>
      <w:jc w:val="center"/>
      <w:outlineLvl w:val="1"/>
    </w:pPr>
    <w:rPr>
      <w:rFonts w:ascii="宋体" w:hAnsi="宋体" w:eastAsia="宋体" w:cs="宋体"/>
      <w:sz w:val="44"/>
      <w:szCs w:val="44"/>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41</TotalTime>
  <ScaleCrop>false</ScaleCrop>
  <LinksUpToDate>false</LinksUpToDate>
  <Application>WPS Office_11.8.2.8593_F1E327BC-269C-435d-A152-05C5408002CA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2023-07-21T01:15:00Z</dcterms:created>
  <dc:creator>Administrator</dc:creator>
  <cp:lastModifiedBy>lenovo</cp:lastModifiedBy>
  <cp:lastPrinted>2026-05-29T07:27:00Z</cp:lastPrinted>
  <dcterms:modified xsi:type="dcterms:W3CDTF">2026-06-10T07:04:58Z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