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default" w:ascii="Times New Roman" w:hAnsi="Times New Roman" w:cs="Times New Roman"/>
          <w:b/>
          <w:color w:val="000000"/>
          <w:sz w:val="32"/>
          <w:szCs w:val="32"/>
          <w:lang w:val="en-US" w:eastAsia="zh-CN"/>
        </w:rPr>
      </w:pPr>
    </w:p>
    <w:p>
      <w:pPr>
        <w:adjustRightInd w:val="0"/>
        <w:snapToGrid w:val="0"/>
        <w:spacing w:line="360" w:lineRule="auto"/>
        <w:jc w:val="center"/>
        <w:rPr>
          <w:rFonts w:hint="default" w:ascii="Times New Roman" w:hAnsi="Times New Roman" w:cs="Times New Roman"/>
          <w:b/>
          <w:color w:val="000000"/>
          <w:sz w:val="32"/>
          <w:szCs w:val="32"/>
        </w:rPr>
      </w:pPr>
      <w:r>
        <w:rPr>
          <w:rFonts w:hint="default" w:ascii="Times New Roman" w:hAnsi="Times New Roman" w:cs="Times New Roman"/>
          <w:b/>
          <w:color w:val="000000"/>
          <w:sz w:val="32"/>
          <w:szCs w:val="32"/>
          <w:lang w:val="en-US" w:eastAsia="zh-CN"/>
        </w:rPr>
        <w:t>连州市</w:t>
      </w:r>
      <w:r>
        <w:rPr>
          <w:rFonts w:hint="default" w:ascii="Times New Roman" w:hAnsi="Times New Roman" w:cs="Times New Roman"/>
          <w:b/>
          <w:color w:val="000000"/>
          <w:sz w:val="32"/>
          <w:szCs w:val="32"/>
        </w:rPr>
        <w:t>电灭蚊器具产品质量监督抽查实施细则</w:t>
      </w:r>
    </w:p>
    <w:p>
      <w:pPr>
        <w:adjustRightInd w:val="0"/>
        <w:snapToGrid w:val="0"/>
        <w:spacing w:line="360" w:lineRule="auto"/>
        <w:rPr>
          <w:rFonts w:hint="default" w:ascii="Times New Roman" w:hAnsi="Times New Roman" w:eastAsia="黑体" w:cs="Times New Roman"/>
          <w:szCs w:val="21"/>
        </w:rPr>
      </w:pPr>
    </w:p>
    <w:p>
      <w:pPr>
        <w:adjustRightInd w:val="0"/>
        <w:snapToGrid w:val="0"/>
        <w:spacing w:line="360" w:lineRule="auto"/>
        <w:rPr>
          <w:rFonts w:hint="default" w:ascii="Times New Roman" w:hAnsi="Times New Roman" w:eastAsia="黑体" w:cs="Times New Roman"/>
          <w:szCs w:val="21"/>
        </w:rPr>
      </w:pPr>
      <w:r>
        <w:rPr>
          <w:rFonts w:hint="default" w:ascii="Times New Roman" w:hAnsi="Times New Roman" w:eastAsia="黑体" w:cs="Times New Roman"/>
          <w:szCs w:val="21"/>
        </w:rPr>
        <w:t xml:space="preserve">1 </w:t>
      </w:r>
      <w:r>
        <w:rPr>
          <w:rFonts w:hint="default" w:ascii="Times New Roman" w:hAnsi="Times New Roman" w:eastAsia="黑体" w:cs="Times New Roman"/>
          <w:color w:val="000000"/>
          <w:szCs w:val="21"/>
        </w:rPr>
        <w:t>抽样方法</w:t>
      </w:r>
    </w:p>
    <w:p>
      <w:pPr>
        <w:adjustRightInd w:val="0"/>
        <w:snapToGrid w:val="0"/>
        <w:spacing w:line="360"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以随机抽样的方式在被抽样生产者、销售者的待销产品中抽取。</w:t>
      </w:r>
    </w:p>
    <w:p>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color w:val="000000"/>
          <w:szCs w:val="21"/>
        </w:rPr>
        <w:t>随机数一般可使用随机数表等方法产生。</w:t>
      </w:r>
    </w:p>
    <w:p>
      <w:pPr>
        <w:adjustRightInd w:val="0"/>
        <w:snapToGrid w:val="0"/>
        <w:spacing w:line="360" w:lineRule="auto"/>
        <w:ind w:firstLine="420" w:firstLineChars="200"/>
        <w:rPr>
          <w:rFonts w:hint="default" w:ascii="Times New Roman" w:hAnsi="Times New Roman" w:cs="Times New Roman"/>
          <w:szCs w:val="21"/>
        </w:rPr>
      </w:pPr>
      <w:r>
        <w:rPr>
          <w:rFonts w:hint="default" w:ascii="Times New Roman" w:hAnsi="Times New Roman" w:cs="Times New Roman"/>
        </w:rPr>
        <w:t>每一抽检批次产品抽取样品</w:t>
      </w:r>
      <w:r>
        <w:rPr>
          <w:rFonts w:hint="eastAsia" w:ascii="Times New Roman" w:hAnsi="Times New Roman" w:cs="Times New Roman"/>
          <w:lang w:val="en-US" w:eastAsia="zh-CN"/>
        </w:rPr>
        <w:t>3</w:t>
      </w:r>
      <w:r>
        <w:rPr>
          <w:rFonts w:hint="default" w:ascii="Times New Roman" w:hAnsi="Times New Roman" w:cs="Times New Roman"/>
        </w:rPr>
        <w:t>台，其中</w:t>
      </w:r>
      <w:r>
        <w:rPr>
          <w:rFonts w:hint="eastAsia" w:ascii="Times New Roman" w:hAnsi="Times New Roman" w:cs="Times New Roman"/>
          <w:lang w:val="en-US" w:eastAsia="zh-CN"/>
        </w:rPr>
        <w:t>2</w:t>
      </w:r>
      <w:r>
        <w:rPr>
          <w:rFonts w:hint="default" w:ascii="Times New Roman" w:hAnsi="Times New Roman" w:cs="Times New Roman"/>
        </w:rPr>
        <w:t>台作为检验样品，1台作为备用样品</w:t>
      </w:r>
      <w:r>
        <w:rPr>
          <w:rFonts w:hint="default" w:ascii="Times New Roman" w:hAnsi="Times New Roman" w:cs="Times New Roman"/>
          <w:szCs w:val="21"/>
        </w:rPr>
        <w:t>。</w:t>
      </w:r>
    </w:p>
    <w:p>
      <w:pPr>
        <w:adjustRightInd w:val="0"/>
        <w:snapToGrid w:val="0"/>
        <w:spacing w:line="360" w:lineRule="auto"/>
        <w:rPr>
          <w:rFonts w:hint="default" w:ascii="Times New Roman" w:hAnsi="Times New Roman" w:eastAsia="黑体" w:cs="Times New Roman"/>
          <w:color w:val="000000"/>
          <w:szCs w:val="21"/>
        </w:rPr>
      </w:pPr>
    </w:p>
    <w:p>
      <w:pPr>
        <w:adjustRightInd w:val="0"/>
        <w:snapToGrid w:val="0"/>
        <w:spacing w:line="360" w:lineRule="auto"/>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2 检验依据</w:t>
      </w:r>
    </w:p>
    <w:tbl>
      <w:tblPr>
        <w:tblStyle w:val="6"/>
        <w:tblW w:w="885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5866"/>
        <w:gridCol w:w="2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blHeader/>
          <w:jc w:val="center"/>
        </w:trPr>
        <w:tc>
          <w:tcPr>
            <w:tcW w:w="758" w:type="dxa"/>
            <w:vMerge w:val="restart"/>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color w:val="000000"/>
                <w:szCs w:val="21"/>
              </w:rPr>
              <w:t>序号</w:t>
            </w:r>
          </w:p>
        </w:tc>
        <w:tc>
          <w:tcPr>
            <w:tcW w:w="5866" w:type="dxa"/>
            <w:vMerge w:val="restart"/>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color w:val="000000"/>
                <w:szCs w:val="21"/>
              </w:rPr>
              <w:t>检验项目</w:t>
            </w:r>
          </w:p>
        </w:tc>
        <w:tc>
          <w:tcPr>
            <w:tcW w:w="2228" w:type="dxa"/>
            <w:vMerge w:val="restart"/>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blHeader/>
          <w:jc w:val="center"/>
        </w:trPr>
        <w:tc>
          <w:tcPr>
            <w:tcW w:w="75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c>
          <w:tcPr>
            <w:tcW w:w="5866"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1</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对触及带电部件的防护</w:t>
            </w:r>
          </w:p>
        </w:tc>
        <w:tc>
          <w:tcPr>
            <w:tcW w:w="2228" w:type="dxa"/>
            <w:vMerge w:val="restart"/>
            <w:vAlign w:val="center"/>
          </w:tcPr>
          <w:p>
            <w:pPr>
              <w:adjustRightInd w:val="0"/>
              <w:snapToGrid w:val="0"/>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GB 4706.1—2005</w:t>
            </w:r>
          </w:p>
          <w:p>
            <w:pPr>
              <w:adjustRightInd w:val="0"/>
              <w:snapToGrid w:val="0"/>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GB 4706.76—2008</w:t>
            </w:r>
          </w:p>
          <w:p>
            <w:pPr>
              <w:adjustRightInd w:val="0"/>
              <w:snapToGrid w:val="0"/>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GB 4706.81—2014</w:t>
            </w:r>
          </w:p>
          <w:p>
            <w:pPr>
              <w:adjustRightInd w:val="0"/>
              <w:snapToGrid w:val="0"/>
              <w:spacing w:line="360" w:lineRule="auto"/>
              <w:jc w:val="center"/>
              <w:rPr>
                <w:rFonts w:hint="default" w:ascii="Times New Roman" w:hAnsi="Times New Roman" w:cs="Times New Roman" w:eastAsiaTheme="minorEastAsia"/>
                <w:kern w:val="0"/>
                <w:szCs w:val="21"/>
                <w:lang w:val="en-US" w:eastAsia="zh-CN"/>
              </w:rPr>
            </w:pPr>
            <w:r>
              <w:rPr>
                <w:rFonts w:hint="eastAsia" w:ascii="Times New Roman" w:hAnsi="Times New Roman" w:cs="Times New Roman"/>
                <w:kern w:val="0"/>
                <w:szCs w:val="21"/>
                <w:lang w:val="en-US" w:eastAsia="zh-CN"/>
              </w:rPr>
              <w:t>GB/T 4706.1-2024</w:t>
            </w:r>
          </w:p>
          <w:p>
            <w:pPr>
              <w:adjustRightInd w:val="0"/>
              <w:snapToGrid w:val="0"/>
              <w:spacing w:line="360" w:lineRule="auto"/>
              <w:jc w:val="center"/>
              <w:rPr>
                <w:rFonts w:hint="eastAsia" w:ascii="Times New Roman" w:hAnsi="Times New Roman" w:cs="Times New Roman"/>
                <w:kern w:val="0"/>
                <w:szCs w:val="21"/>
                <w:lang w:val="en-US" w:eastAsia="zh-CN"/>
              </w:rPr>
            </w:pPr>
            <w:r>
              <w:rPr>
                <w:rFonts w:hint="eastAsia" w:ascii="Times New Roman" w:hAnsi="Times New Roman" w:cs="Times New Roman"/>
                <w:kern w:val="0"/>
                <w:szCs w:val="21"/>
                <w:lang w:val="en-US" w:eastAsia="zh-CN"/>
              </w:rPr>
              <w:t>GB/T 4706.76-2024</w:t>
            </w:r>
          </w:p>
          <w:p>
            <w:pPr>
              <w:adjustRightInd w:val="0"/>
              <w:snapToGrid w:val="0"/>
              <w:spacing w:line="360" w:lineRule="auto"/>
              <w:jc w:val="center"/>
              <w:rPr>
                <w:rFonts w:hint="default" w:ascii="Times New Roman" w:hAnsi="Times New Roman" w:cs="Times New Roman"/>
                <w:kern w:val="0"/>
                <w:szCs w:val="21"/>
                <w:lang w:val="en-US" w:eastAsia="zh-CN"/>
              </w:rPr>
            </w:pPr>
            <w:r>
              <w:rPr>
                <w:rFonts w:hint="eastAsia" w:ascii="Times New Roman" w:hAnsi="Times New Roman" w:cs="Times New Roman"/>
                <w:kern w:val="0"/>
                <w:szCs w:val="21"/>
                <w:lang w:val="en-US" w:eastAsia="zh-CN"/>
              </w:rPr>
              <w:t>GB/T 4706.81-2024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2</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输入功率和电流</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3</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发热</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4</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工作温度下的泄漏电流和电气强度</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5</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耐潮湿</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6</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泄漏电流和电气强度</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7</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非正常工作（不包括第19.11.4条的试验）</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8</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稳定性和机械危险</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9</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机械强度</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10</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结构（不包括第22.46条的试验）</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11</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内部布线（不包括第23.3条的试验）</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12</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电源连接和外部软线</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13</w:t>
            </w:r>
          </w:p>
        </w:tc>
        <w:tc>
          <w:tcPr>
            <w:tcW w:w="5866" w:type="dxa"/>
            <w:vAlign w:val="center"/>
          </w:tcPr>
          <w:p>
            <w:pPr>
              <w:widowControl/>
              <w:adjustRightInd w:val="0"/>
              <w:snapToGrid w:val="0"/>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外部导线用接线端子</w:t>
            </w:r>
          </w:p>
          <w:p>
            <w:pPr>
              <w:widowControl/>
              <w:adjustRightInd w:val="0"/>
              <w:snapToGrid w:val="0"/>
              <w:spacing w:line="360" w:lineRule="auto"/>
              <w:jc w:val="center"/>
              <w:rPr>
                <w:rFonts w:hint="default" w:ascii="Times New Roman" w:hAnsi="Times New Roman" w:cs="Times New Roman" w:eastAsiaTheme="minorEastAsia"/>
                <w:kern w:val="0"/>
                <w:szCs w:val="21"/>
                <w:lang w:val="en-US" w:eastAsia="zh-CN"/>
              </w:rPr>
            </w:pPr>
            <w:r>
              <w:rPr>
                <w:rFonts w:hint="eastAsia" w:ascii="Times New Roman" w:hAnsi="Times New Roman" w:cs="Times New Roman"/>
                <w:kern w:val="0"/>
                <w:szCs w:val="21"/>
                <w:lang w:val="en-US" w:eastAsia="zh-CN"/>
              </w:rPr>
              <w:t>或外部导体用接线端子</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14</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接地措施</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15</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螺钉和连接</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vAlign w:val="center"/>
          </w:tcPr>
          <w:p>
            <w:pPr>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16</w:t>
            </w:r>
          </w:p>
        </w:tc>
        <w:tc>
          <w:tcPr>
            <w:tcW w:w="5866" w:type="dxa"/>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电气间隙、爬电距离和固体绝缘</w:t>
            </w:r>
          </w:p>
        </w:tc>
        <w:tc>
          <w:tcPr>
            <w:tcW w:w="2228" w:type="dxa"/>
            <w:vMerge w:val="continue"/>
            <w:vAlign w:val="center"/>
          </w:tcPr>
          <w:p>
            <w:pPr>
              <w:adjustRightInd w:val="0"/>
              <w:snapToGrid w:val="0"/>
              <w:spacing w:line="360" w:lineRule="auto"/>
              <w:jc w:val="center"/>
              <w:rPr>
                <w:rFonts w:hint="default"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758" w:type="dxa"/>
            <w:shd w:val="clear" w:color="auto" w:fill="auto"/>
            <w:vAlign w:val="center"/>
          </w:tcPr>
          <w:p>
            <w:pPr>
              <w:adjustRightInd w:val="0"/>
              <w:snapToGrid w:val="0"/>
              <w:spacing w:line="360" w:lineRule="auto"/>
              <w:jc w:val="center"/>
              <w:rPr>
                <w:rFonts w:hint="default" w:ascii="Times New Roman" w:hAnsi="Times New Roman" w:cs="Times New Roman" w:eastAsiaTheme="minorEastAsia"/>
                <w:color w:val="000000"/>
                <w:szCs w:val="21"/>
                <w:lang w:val="en-US" w:eastAsia="zh-CN"/>
              </w:rPr>
            </w:pPr>
            <w:r>
              <w:rPr>
                <w:rFonts w:hint="default" w:ascii="Times New Roman" w:hAnsi="Times New Roman" w:cs="Times New Roman"/>
                <w:kern w:val="0"/>
                <w:szCs w:val="21"/>
                <w:lang w:val="en-US" w:eastAsia="zh-CN"/>
              </w:rPr>
              <w:t>17</w:t>
            </w:r>
          </w:p>
        </w:tc>
        <w:tc>
          <w:tcPr>
            <w:tcW w:w="5866" w:type="dxa"/>
            <w:shd w:val="clear" w:color="auto" w:fill="auto"/>
            <w:vAlign w:val="center"/>
          </w:tcPr>
          <w:p>
            <w:pPr>
              <w:widowControl/>
              <w:adjustRightInd w:val="0"/>
              <w:snapToGrid w:val="0"/>
              <w:spacing w:line="360" w:lineRule="auto"/>
              <w:jc w:val="center"/>
              <w:rPr>
                <w:rFonts w:hint="default" w:ascii="Times New Roman" w:hAnsi="Times New Roman" w:cs="Times New Roman"/>
                <w:color w:val="000000"/>
                <w:szCs w:val="21"/>
              </w:rPr>
            </w:pPr>
            <w:r>
              <w:rPr>
                <w:rFonts w:hint="default" w:ascii="Times New Roman" w:hAnsi="Times New Roman" w:cs="Times New Roman"/>
                <w:kern w:val="0"/>
                <w:szCs w:val="21"/>
              </w:rPr>
              <w:t>谐波电流</w:t>
            </w:r>
          </w:p>
        </w:tc>
        <w:tc>
          <w:tcPr>
            <w:tcW w:w="2228" w:type="dxa"/>
            <w:vAlign w:val="center"/>
          </w:tcPr>
          <w:p>
            <w:pPr>
              <w:widowControl/>
              <w:adjustRightInd w:val="0"/>
              <w:snapToGrid w:val="0"/>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GB 17625.1—2022</w:t>
            </w:r>
          </w:p>
        </w:tc>
      </w:tr>
    </w:tbl>
    <w:p>
      <w:pPr>
        <w:adjustRightInd w:val="0"/>
        <w:snapToGrid w:val="0"/>
        <w:spacing w:line="360" w:lineRule="auto"/>
        <w:ind w:firstLine="420" w:firstLineChars="200"/>
        <w:rPr>
          <w:rFonts w:hint="default" w:ascii="Times New Roman" w:hAnsi="Times New Roman" w:cs="Times New Roman"/>
          <w:color w:val="000000"/>
          <w:szCs w:val="21"/>
        </w:rPr>
      </w:pPr>
    </w:p>
    <w:p>
      <w:pPr>
        <w:adjustRightInd w:val="0"/>
        <w:snapToGrid w:val="0"/>
        <w:spacing w:line="360" w:lineRule="auto"/>
        <w:ind w:firstLine="420" w:firstLineChars="200"/>
        <w:rPr>
          <w:rFonts w:hint="default" w:ascii="Times New Roman" w:hAnsi="Times New Roman" w:cs="Times New Roman"/>
          <w:color w:val="000000"/>
          <w:szCs w:val="21"/>
          <w:lang w:val="zh-TW" w:eastAsia="zh-TW"/>
        </w:rPr>
      </w:pPr>
      <w:r>
        <w:rPr>
          <w:rFonts w:hint="default" w:ascii="Times New Roman" w:hAnsi="Times New Roman" w:cs="Times New Roman"/>
          <w:color w:val="000000"/>
          <w:szCs w:val="21"/>
          <w:lang w:val="zh-TW" w:eastAsia="zh-TW"/>
        </w:rPr>
        <w:t>执行企业标准、团体标准、地方标准的产品，检验项目参照上述内容执行。</w:t>
      </w:r>
    </w:p>
    <w:p>
      <w:pPr>
        <w:adjustRightInd w:val="0"/>
        <w:snapToGrid w:val="0"/>
        <w:spacing w:line="360"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凡是注日期的文件，其随后所有的修改单（不包括勘误的内容）或修订版不适用于本细则。凡是不注日期的文件，其最新版本适用于本细则。</w:t>
      </w:r>
    </w:p>
    <w:p>
      <w:pPr>
        <w:adjustRightInd w:val="0"/>
        <w:snapToGrid w:val="0"/>
        <w:spacing w:line="360" w:lineRule="auto"/>
        <w:ind w:firstLine="420" w:firstLineChars="200"/>
        <w:rPr>
          <w:rFonts w:hint="default" w:ascii="Times New Roman" w:hAnsi="Times New Roman" w:cs="Times New Roman"/>
          <w:color w:val="000000"/>
          <w:szCs w:val="21"/>
        </w:rPr>
      </w:pPr>
    </w:p>
    <w:p>
      <w:pPr>
        <w:adjustRightInd w:val="0"/>
        <w:snapToGrid w:val="0"/>
        <w:spacing w:line="360" w:lineRule="auto"/>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3 判定规则</w:t>
      </w:r>
    </w:p>
    <w:p>
      <w:pPr>
        <w:adjustRightInd w:val="0"/>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3.1依据标准</w:t>
      </w:r>
    </w:p>
    <w:p>
      <w:pPr>
        <w:adjustRightInd w:val="0"/>
        <w:snapToGrid w:val="0"/>
        <w:spacing w:line="360" w:lineRule="auto"/>
        <w:ind w:firstLine="420" w:firstLineChars="200"/>
        <w:rPr>
          <w:rFonts w:hint="default" w:ascii="Times New Roman" w:hAnsi="Times New Roman" w:cs="Times New Roman"/>
          <w:kern w:val="0"/>
          <w:szCs w:val="21"/>
        </w:rPr>
      </w:pPr>
      <w:bookmarkStart w:id="0" w:name="_GoBack"/>
      <w:bookmarkEnd w:id="0"/>
      <w:r>
        <w:rPr>
          <w:rFonts w:hint="default" w:ascii="Times New Roman" w:hAnsi="Times New Roman" w:cs="Times New Roman"/>
          <w:color w:val="000000"/>
          <w:szCs w:val="21"/>
        </w:rPr>
        <w:t>GB 17625.1—2022  电磁兼容 限值 第1部分：谐波电流发射限值(设备每相输入电流≤16A)</w:t>
      </w:r>
    </w:p>
    <w:p>
      <w:pPr>
        <w:adjustRightInd w:val="0"/>
        <w:snapToGrid w:val="0"/>
        <w:spacing w:line="360" w:lineRule="auto"/>
        <w:ind w:firstLine="420"/>
        <w:rPr>
          <w:rFonts w:hint="default" w:ascii="Times New Roman" w:hAnsi="Times New Roman" w:cs="Times New Roman"/>
          <w:kern w:val="0"/>
          <w:szCs w:val="21"/>
        </w:rPr>
      </w:pPr>
      <w:r>
        <w:rPr>
          <w:rFonts w:hint="default" w:ascii="Times New Roman" w:hAnsi="Times New Roman" w:cs="Times New Roman"/>
          <w:kern w:val="0"/>
          <w:szCs w:val="21"/>
        </w:rPr>
        <w:t>GB 4706.1—2005  家用和类似用途电器的安全 第1部分：通用要求</w:t>
      </w:r>
    </w:p>
    <w:p>
      <w:pPr>
        <w:adjustRightInd w:val="0"/>
        <w:snapToGrid w:val="0"/>
        <w:spacing w:line="360" w:lineRule="auto"/>
        <w:ind w:firstLine="420"/>
        <w:rPr>
          <w:rFonts w:hint="default" w:ascii="Times New Roman" w:hAnsi="Times New Roman" w:cs="Times New Roman"/>
          <w:kern w:val="0"/>
          <w:szCs w:val="21"/>
        </w:rPr>
      </w:pPr>
      <w:r>
        <w:rPr>
          <w:rFonts w:hint="default" w:ascii="Times New Roman" w:hAnsi="Times New Roman" w:cs="Times New Roman"/>
          <w:kern w:val="0"/>
          <w:szCs w:val="21"/>
        </w:rPr>
        <w:t>GB 4706.76—2008 家用和类似用途电器的安全 灭虫器的特殊要求</w:t>
      </w:r>
    </w:p>
    <w:p>
      <w:pPr>
        <w:adjustRightInd w:val="0"/>
        <w:snapToGrid w:val="0"/>
        <w:spacing w:line="360" w:lineRule="auto"/>
        <w:ind w:firstLine="420"/>
        <w:rPr>
          <w:rFonts w:hint="default" w:ascii="Times New Roman" w:hAnsi="Times New Roman" w:cs="Times New Roman"/>
          <w:kern w:val="0"/>
          <w:szCs w:val="21"/>
        </w:rPr>
      </w:pPr>
      <w:r>
        <w:rPr>
          <w:rFonts w:hint="default" w:ascii="Times New Roman" w:hAnsi="Times New Roman" w:cs="Times New Roman"/>
          <w:kern w:val="0"/>
          <w:szCs w:val="21"/>
        </w:rPr>
        <w:t xml:space="preserve">GB 4706.81—2014 </w:t>
      </w:r>
      <w:r>
        <w:rPr>
          <w:rFonts w:hint="default" w:ascii="Times New Roman" w:hAnsi="Times New Roman" w:cs="Times New Roman"/>
        </w:rPr>
        <w:fldChar w:fldCharType="begin"/>
      </w:r>
      <w:r>
        <w:rPr>
          <w:rFonts w:hint="default" w:ascii="Times New Roman" w:hAnsi="Times New Roman" w:cs="Times New Roman"/>
        </w:rPr>
        <w:instrText xml:space="preserve"> HYPERLINK "https://www.baidu.com/link?url=KInIfFDqmu-zY1sI-pOO9c8SHOXZVxs8NSPZx-v20Dx2W1-plnJzIXMFPzMDsGp8&amp;wd=&amp;eqid=8a7fd5ae0003316100000006572059ba" \t "_blank" </w:instrText>
      </w:r>
      <w:r>
        <w:rPr>
          <w:rFonts w:hint="default" w:ascii="Times New Roman" w:hAnsi="Times New Roman" w:cs="Times New Roman"/>
        </w:rPr>
        <w:fldChar w:fldCharType="separate"/>
      </w:r>
      <w:r>
        <w:rPr>
          <w:rFonts w:hint="default" w:ascii="Times New Roman" w:hAnsi="Times New Roman" w:cs="Times New Roman"/>
          <w:kern w:val="0"/>
          <w:szCs w:val="21"/>
        </w:rPr>
        <w:t>家用和类似用途电器的安全 挥发器的特殊要求</w:t>
      </w:r>
      <w:r>
        <w:rPr>
          <w:rFonts w:hint="default" w:ascii="Times New Roman" w:hAnsi="Times New Roman" w:cs="Times New Roman"/>
          <w:kern w:val="0"/>
          <w:szCs w:val="21"/>
        </w:rPr>
        <w:fldChar w:fldCharType="end"/>
      </w:r>
    </w:p>
    <w:p>
      <w:pPr>
        <w:adjustRightInd w:val="0"/>
        <w:snapToGrid w:val="0"/>
        <w:spacing w:line="360" w:lineRule="auto"/>
        <w:ind w:firstLine="420"/>
        <w:rPr>
          <w:rFonts w:hint="default" w:ascii="Times New Roman" w:hAnsi="Times New Roman" w:cs="Times New Roman"/>
          <w:kern w:val="0"/>
          <w:szCs w:val="21"/>
        </w:rPr>
      </w:pPr>
      <w:r>
        <w:rPr>
          <w:rFonts w:hint="eastAsia" w:ascii="Times New Roman" w:hAnsi="Times New Roman" w:cs="Times New Roman"/>
          <w:kern w:val="0"/>
          <w:szCs w:val="21"/>
        </w:rPr>
        <w:t>GB 44246—2024 家用和类似用途电器、体育用品的电气部分及电玩具  安全技术规范</w:t>
      </w:r>
    </w:p>
    <w:p>
      <w:pPr>
        <w:adjustRightInd w:val="0"/>
        <w:snapToGrid w:val="0"/>
        <w:spacing w:line="360" w:lineRule="auto"/>
        <w:ind w:firstLine="420"/>
        <w:rPr>
          <w:rFonts w:hint="eastAsia" w:ascii="Times New Roman" w:hAnsi="Times New Roman" w:cs="Times New Roman"/>
          <w:kern w:val="0"/>
          <w:szCs w:val="21"/>
          <w:lang w:val="en-US" w:eastAsia="zh-CN"/>
        </w:rPr>
      </w:pPr>
      <w:r>
        <w:rPr>
          <w:rFonts w:hint="eastAsia" w:ascii="Times New Roman" w:hAnsi="Times New Roman" w:cs="Times New Roman"/>
          <w:kern w:val="0"/>
          <w:szCs w:val="21"/>
          <w:lang w:val="en-US" w:eastAsia="zh-CN"/>
        </w:rPr>
        <w:t>GB/T 4706.1-2024 家用和类似用途电器的安全 第1部分：通用要求</w:t>
      </w:r>
    </w:p>
    <w:p>
      <w:pPr>
        <w:adjustRightInd w:val="0"/>
        <w:snapToGrid w:val="0"/>
        <w:spacing w:line="360" w:lineRule="auto"/>
        <w:ind w:firstLine="420"/>
        <w:rPr>
          <w:rFonts w:hint="eastAsia" w:ascii="Times New Roman" w:hAnsi="Times New Roman" w:cs="Times New Roman"/>
          <w:kern w:val="0"/>
          <w:szCs w:val="21"/>
          <w:lang w:val="en-US" w:eastAsia="zh-CN"/>
        </w:rPr>
      </w:pPr>
      <w:r>
        <w:rPr>
          <w:rFonts w:hint="eastAsia" w:ascii="Times New Roman" w:hAnsi="Times New Roman" w:cs="Times New Roman"/>
          <w:kern w:val="0"/>
          <w:szCs w:val="21"/>
          <w:lang w:val="en-US" w:eastAsia="zh-CN"/>
        </w:rPr>
        <w:t>GB/T 4706.76-2024 家用和类似用途电器的安全 第76部分：灭虫器的特殊要求</w:t>
      </w:r>
    </w:p>
    <w:p>
      <w:pPr>
        <w:adjustRightInd w:val="0"/>
        <w:snapToGrid w:val="0"/>
        <w:spacing w:line="360" w:lineRule="auto"/>
        <w:ind w:firstLine="420"/>
        <w:rPr>
          <w:rFonts w:hint="default" w:ascii="Times New Roman" w:hAnsi="Times New Roman" w:cs="Times New Roman"/>
          <w:kern w:val="0"/>
          <w:szCs w:val="21"/>
          <w:lang w:val="en-US" w:eastAsia="zh-CN"/>
        </w:rPr>
      </w:pPr>
      <w:r>
        <w:rPr>
          <w:rFonts w:hint="eastAsia" w:ascii="Times New Roman" w:hAnsi="Times New Roman" w:cs="Times New Roman"/>
          <w:kern w:val="0"/>
          <w:szCs w:val="21"/>
          <w:lang w:val="en-US" w:eastAsia="zh-CN"/>
        </w:rPr>
        <w:t>GB/T 4706.81-2024 家用和类似用途电器的安全 第81部分：挥发器的特殊要求</w:t>
      </w:r>
    </w:p>
    <w:p>
      <w:pPr>
        <w:adjustRightInd w:val="0"/>
        <w:snapToGrid w:val="0"/>
        <w:spacing w:line="360" w:lineRule="auto"/>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现行有效的企业标准、团体标准、地方标准及产品明示质量要求</w:t>
      </w:r>
    </w:p>
    <w:p>
      <w:pPr>
        <w:adjustRightInd w:val="0"/>
        <w:snapToGrid w:val="0"/>
        <w:spacing w:line="360" w:lineRule="auto"/>
        <w:rPr>
          <w:rFonts w:hint="default" w:ascii="Times New Roman" w:hAnsi="Times New Roman" w:cs="Times New Roman"/>
          <w:color w:val="000000"/>
          <w:szCs w:val="21"/>
        </w:rPr>
      </w:pPr>
      <w:r>
        <w:rPr>
          <w:rFonts w:hint="default" w:ascii="Times New Roman" w:hAnsi="Times New Roman" w:cs="Times New Roman"/>
          <w:color w:val="000000"/>
          <w:szCs w:val="21"/>
        </w:rPr>
        <w:t>3.2判定原则</w:t>
      </w:r>
    </w:p>
    <w:p>
      <w:pPr>
        <w:snapToGrid w:val="0"/>
        <w:spacing w:line="440" w:lineRule="exact"/>
        <w:ind w:firstLine="420" w:firstLineChars="200"/>
        <w:rPr>
          <w:rFonts w:hint="default" w:ascii="Times New Roman" w:hAnsi="Times New Roman" w:cs="Times New Roman"/>
          <w:szCs w:val="21"/>
        </w:rPr>
      </w:pPr>
      <w:r>
        <w:rPr>
          <w:rFonts w:hint="default" w:ascii="Times New Roman" w:hAnsi="Times New Roman" w:cs="Times New Roman"/>
          <w:szCs w:val="21"/>
        </w:rPr>
        <w:t>经检验，检验项目全部合格，判定为被抽查产品所检项目未发现不合格；检验项目中任一项或一项以上不合格，判定为被抽查产品不合格。</w:t>
      </w:r>
    </w:p>
    <w:p>
      <w:pPr>
        <w:snapToGrid w:val="0"/>
        <w:spacing w:line="440" w:lineRule="exact"/>
        <w:ind w:firstLine="417" w:firstLineChars="199"/>
        <w:rPr>
          <w:rFonts w:hint="default" w:ascii="Times New Roman" w:hAnsi="Times New Roman" w:cs="Times New Roman"/>
          <w:szCs w:val="21"/>
        </w:rPr>
      </w:pPr>
      <w:r>
        <w:rPr>
          <w:rFonts w:hint="default" w:ascii="Times New Roman" w:hAnsi="Times New Roman" w:cs="Times New Roman"/>
          <w:szCs w:val="21"/>
        </w:rPr>
        <w:t>若被检产品明示的质量要求高于本细则中检验项目依据的标准要求时，应按被检产品明示的质量要求判定。</w:t>
      </w:r>
    </w:p>
    <w:p>
      <w:pPr>
        <w:snapToGrid w:val="0"/>
        <w:spacing w:line="440" w:lineRule="exact"/>
        <w:ind w:firstLine="417" w:firstLineChars="199"/>
        <w:rPr>
          <w:rFonts w:hint="default" w:ascii="Times New Roman" w:hAnsi="Times New Roman" w:cs="Times New Roman"/>
          <w:szCs w:val="21"/>
        </w:rPr>
      </w:pPr>
      <w:r>
        <w:rPr>
          <w:rFonts w:hint="default" w:ascii="Times New Roman" w:hAnsi="Times New Roman" w:cs="Times New Roman"/>
          <w:szCs w:val="21"/>
        </w:rPr>
        <w:t>若被检产品明示的质量要求低于本细则中检验项目依据的强制性标准要求时，应按照强制性标准要求判定。</w:t>
      </w:r>
    </w:p>
    <w:p>
      <w:pPr>
        <w:snapToGrid w:val="0"/>
        <w:spacing w:line="440" w:lineRule="exact"/>
        <w:ind w:firstLine="417" w:firstLineChars="199"/>
        <w:rPr>
          <w:rFonts w:hint="default" w:ascii="Times New Roman" w:hAnsi="Times New Roman" w:cs="Times New Roman"/>
          <w:szCs w:val="21"/>
        </w:rPr>
      </w:pPr>
      <w:r>
        <w:rPr>
          <w:rFonts w:hint="default" w:ascii="Times New Roman" w:hAnsi="Times New Roman" w:cs="Times New Roman"/>
          <w:szCs w:val="21"/>
        </w:rPr>
        <w:t>若被检产品明示的质量要求低于或包含本细则中检验项目依据的推荐性标准要求时，应以被检产品明示的质量要求判定。</w:t>
      </w:r>
    </w:p>
    <w:p>
      <w:pPr>
        <w:snapToGrid w:val="0"/>
        <w:spacing w:line="440" w:lineRule="exact"/>
        <w:ind w:firstLine="417" w:firstLineChars="199"/>
        <w:rPr>
          <w:rFonts w:hint="default" w:ascii="Times New Roman" w:hAnsi="Times New Roman" w:cs="Times New Roman"/>
          <w:szCs w:val="21"/>
        </w:rPr>
      </w:pPr>
      <w:r>
        <w:rPr>
          <w:rFonts w:hint="default" w:ascii="Times New Roman" w:hAnsi="Times New Roman" w:cs="Times New Roman"/>
          <w:szCs w:val="21"/>
        </w:rPr>
        <w:t>若被检产品明示的质量要求缺少本细则中检验项目依据的强制性标准要求时，应按照强制性标准要求判定。</w:t>
      </w:r>
    </w:p>
    <w:p>
      <w:pPr>
        <w:snapToGrid w:val="0"/>
        <w:spacing w:line="440" w:lineRule="exact"/>
        <w:ind w:firstLine="417" w:firstLineChars="199"/>
        <w:rPr>
          <w:rFonts w:hint="default" w:ascii="Times New Roman" w:hAnsi="Times New Roman" w:cs="Times New Roman"/>
          <w:szCs w:val="21"/>
        </w:rPr>
      </w:pPr>
      <w:r>
        <w:rPr>
          <w:rFonts w:hint="default" w:ascii="Times New Roman" w:hAnsi="Times New Roman" w:cs="Times New Roman"/>
          <w:szCs w:val="21"/>
        </w:rPr>
        <w:t>若被检产品明示的质量要求缺少本细则中检验项目依据的推荐性标准要求时，该项目不参与判定。</w:t>
      </w:r>
    </w:p>
    <w:p>
      <w:pPr>
        <w:adjustRightInd w:val="0"/>
        <w:snapToGrid w:val="0"/>
        <w:spacing w:line="360" w:lineRule="auto"/>
        <w:rPr>
          <w:rFonts w:hint="default" w:ascii="Times New Roman" w:hAnsi="Times New Roman" w:eastAsia="宋体" w:cs="Times New Roman"/>
        </w:rPr>
      </w:pPr>
    </w:p>
    <w:sectPr>
      <w:pgSz w:w="11906" w:h="16838"/>
      <w:pgMar w:top="850" w:right="1134"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kZjE3MDcyMTE0ZDY0N2I1ZGJmYTY0Mjk4MTRmYWYifQ=="/>
  </w:docVars>
  <w:rsids>
    <w:rsidRoot w:val="33004E72"/>
    <w:rsid w:val="00011470"/>
    <w:rsid w:val="00020A07"/>
    <w:rsid w:val="0012298C"/>
    <w:rsid w:val="001B3A04"/>
    <w:rsid w:val="00291DD9"/>
    <w:rsid w:val="002A2E56"/>
    <w:rsid w:val="002A31C8"/>
    <w:rsid w:val="003A0F11"/>
    <w:rsid w:val="003C7A93"/>
    <w:rsid w:val="00422534"/>
    <w:rsid w:val="004C3C29"/>
    <w:rsid w:val="00695832"/>
    <w:rsid w:val="007B2556"/>
    <w:rsid w:val="007E54B5"/>
    <w:rsid w:val="008F0740"/>
    <w:rsid w:val="009D13AA"/>
    <w:rsid w:val="00BE123F"/>
    <w:rsid w:val="00C21B36"/>
    <w:rsid w:val="00D5480E"/>
    <w:rsid w:val="00E015D0"/>
    <w:rsid w:val="00EB3A11"/>
    <w:rsid w:val="00F113B1"/>
    <w:rsid w:val="017D30E6"/>
    <w:rsid w:val="03530585"/>
    <w:rsid w:val="04E24716"/>
    <w:rsid w:val="09815C97"/>
    <w:rsid w:val="119D4618"/>
    <w:rsid w:val="132852E3"/>
    <w:rsid w:val="13E2640B"/>
    <w:rsid w:val="1683366A"/>
    <w:rsid w:val="194373D7"/>
    <w:rsid w:val="20F17408"/>
    <w:rsid w:val="29C325FD"/>
    <w:rsid w:val="2B0D4F9A"/>
    <w:rsid w:val="32AC5A26"/>
    <w:rsid w:val="33004E72"/>
    <w:rsid w:val="3D177958"/>
    <w:rsid w:val="3E116BCF"/>
    <w:rsid w:val="46D01672"/>
    <w:rsid w:val="4A6B4703"/>
    <w:rsid w:val="4C143C44"/>
    <w:rsid w:val="52D34F6E"/>
    <w:rsid w:val="554428D6"/>
    <w:rsid w:val="5A15037D"/>
    <w:rsid w:val="66250584"/>
    <w:rsid w:val="68284E85"/>
    <w:rsid w:val="72F27B07"/>
    <w:rsid w:val="772F22F2"/>
    <w:rsid w:val="79CA44BE"/>
    <w:rsid w:val="7FA379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jc w:val="center"/>
      <w:outlineLvl w:val="0"/>
    </w:pPr>
    <w:rPr>
      <w:rFonts w:ascii="方正小标宋简体" w:eastAsia="方正小标宋简体"/>
      <w:kern w:val="44"/>
      <w:sz w:val="38"/>
    </w:rPr>
  </w:style>
  <w:style w:type="character" w:default="1" w:styleId="8">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批注框文本 Char"/>
    <w:basedOn w:val="8"/>
    <w:link w:val="3"/>
    <w:qFormat/>
    <w:uiPriority w:val="0"/>
    <w:rPr>
      <w:rFonts w:asciiTheme="minorHAnsi" w:hAnsiTheme="minorHAnsi" w:eastAsiaTheme="minorEastAsia" w:cstheme="minorBidi"/>
      <w:kern w:val="2"/>
      <w:sz w:val="18"/>
      <w:szCs w:val="18"/>
    </w:rPr>
  </w:style>
  <w:style w:type="character" w:customStyle="1" w:styleId="11">
    <w:name w:val="页眉 Char"/>
    <w:basedOn w:val="8"/>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2</Pages>
  <Words>937</Words>
  <Characters>1118</Characters>
  <Lines>11</Lines>
  <Paragraphs>3</Paragraphs>
  <TotalTime>1</TotalTime>
  <ScaleCrop>false</ScaleCrop>
  <LinksUpToDate>false</LinksUpToDate>
  <CharactersWithSpaces>1152</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2020-03-23T02:08:00Z</dcterms:created>
  <dc:creator>JS</dc:creator>
  <cp:lastModifiedBy>JYJD</cp:lastModifiedBy>
  <dcterms:modified xsi:type="dcterms:W3CDTF">2026-08-14T01:24:29Z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57F7F87F606242A4B8CE3C7779C8E9B9</vt:lpwstr>
  </property>
  <property fmtid="{D5CDD505-2E9C-101B-9397-08002B2CF9AE}" pid="4" name="KSOTemplateDocerSaveRecord">
    <vt:lpwstr>eyJoZGlkIjoiYzdlYzAzZmYyN2I2ZTYxNWI5ZTFhMWYyYTllNWMyMjAiLCJ1c2VySWQiOiIzMTA1MjY0NTYifQ==</vt:lpwstr>
  </property>
</Properties>
</file>