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7E8A5">
      <w:pPr>
        <w:spacing w:before="180" w:line="60" w:lineRule="exact"/>
        <w:ind w:firstLine="49"/>
        <w:rPr>
          <w:spacing w:val="0"/>
          <w:w w:val="100"/>
        </w:rPr>
      </w:pPr>
    </w:p>
    <w:p w14:paraId="6EF98CD3">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jc w:val="right"/>
        <w:textAlignment w:val="baseline"/>
        <w:rPr>
          <w:rFonts w:hint="eastAsia" w:ascii="楷体_GB2312" w:hAnsi="楷体_GB2312" w:eastAsia="楷体_GB2312" w:cs="楷体_GB2312"/>
          <w:spacing w:val="0"/>
          <w:w w:val="100"/>
          <w:sz w:val="32"/>
          <w:szCs w:val="32"/>
        </w:rPr>
      </w:pPr>
      <w:r>
        <w:rPr>
          <w:rFonts w:hint="eastAsia" w:ascii="楷体_GB2312" w:hAnsi="楷体_GB2312" w:eastAsia="楷体_GB2312" w:cs="楷体_GB2312"/>
          <w:spacing w:val="0"/>
          <w:w w:val="100"/>
          <w:sz w:val="32"/>
          <w:szCs w:val="32"/>
        </w:rPr>
        <w:t>粤府土审</w:t>
      </w:r>
      <w:r>
        <w:rPr>
          <w:rFonts w:hint="eastAsia" w:ascii="楷体_GB2312" w:hAnsi="楷体_GB2312" w:eastAsia="楷体_GB2312" w:cs="楷体_GB2312"/>
          <w:spacing w:val="0"/>
          <w:w w:val="100"/>
          <w:sz w:val="32"/>
          <w:szCs w:val="32"/>
          <w:lang w:eastAsia="zh-CN"/>
        </w:rPr>
        <w:t>（</w:t>
      </w:r>
      <w:r>
        <w:rPr>
          <w:rFonts w:hint="eastAsia" w:ascii="楷体_GB2312" w:hAnsi="楷体_GB2312" w:eastAsia="楷体_GB2312" w:cs="楷体_GB2312"/>
          <w:spacing w:val="0"/>
          <w:w w:val="100"/>
          <w:sz w:val="32"/>
          <w:szCs w:val="32"/>
        </w:rPr>
        <w:t>19</w:t>
      </w:r>
      <w:r>
        <w:rPr>
          <w:rFonts w:hint="eastAsia" w:ascii="楷体_GB2312" w:hAnsi="楷体_GB2312" w:eastAsia="楷体_GB2312" w:cs="楷体_GB2312"/>
          <w:spacing w:val="0"/>
          <w:w w:val="100"/>
          <w:sz w:val="32"/>
          <w:szCs w:val="32"/>
          <w:lang w:eastAsia="zh-CN"/>
        </w:rPr>
        <w:t>）</w:t>
      </w:r>
      <w:r>
        <w:rPr>
          <w:rFonts w:hint="eastAsia" w:ascii="楷体_GB2312" w:hAnsi="楷体_GB2312" w:eastAsia="楷体_GB2312" w:cs="楷体_GB2312"/>
          <w:spacing w:val="0"/>
          <w:w w:val="100"/>
          <w:sz w:val="32"/>
          <w:szCs w:val="32"/>
        </w:rPr>
        <w:t>〔2026〕113号</w:t>
      </w:r>
    </w:p>
    <w:p w14:paraId="5155BADD">
      <w:pPr>
        <w:spacing w:line="343" w:lineRule="auto"/>
        <w:rPr>
          <w:rFonts w:ascii="Arial"/>
          <w:spacing w:val="0"/>
          <w:w w:val="100"/>
          <w:sz w:val="21"/>
        </w:rPr>
      </w:pPr>
    </w:p>
    <w:p w14:paraId="14AC41FF">
      <w:pPr>
        <w:keepNext w:val="0"/>
        <w:keepLines w:val="0"/>
        <w:pageBreakBefore w:val="0"/>
        <w:widowControl/>
        <w:kinsoku w:val="0"/>
        <w:wordWrap/>
        <w:overflowPunct/>
        <w:topLinePunct w:val="0"/>
        <w:autoSpaceDE w:val="0"/>
        <w:autoSpaceDN w:val="0"/>
        <w:bidi w:val="0"/>
        <w:adjustRightInd w:val="0"/>
        <w:snapToGrid w:val="0"/>
        <w:spacing w:line="700" w:lineRule="exact"/>
        <w:ind w:left="0" w:right="0" w:firstLine="0"/>
        <w:jc w:val="center"/>
        <w:textAlignment w:val="baseline"/>
        <w:rPr>
          <w:rFonts w:hint="eastAsia" w:ascii="方正小标宋_GBK" w:hAnsi="方正小标宋_GBK" w:eastAsia="方正小标宋_GBK" w:cs="方正小标宋_GBK"/>
          <w:b w:val="0"/>
          <w:bCs w:val="0"/>
          <w:spacing w:val="0"/>
          <w:w w:val="100"/>
          <w:sz w:val="44"/>
          <w:szCs w:val="44"/>
        </w:rPr>
      </w:pPr>
      <w:r>
        <w:rPr>
          <w:rFonts w:hint="eastAsia" w:ascii="方正小标宋_GBK" w:hAnsi="方正小标宋_GBK" w:eastAsia="方正小标宋_GBK" w:cs="方正小标宋_GBK"/>
          <w:b w:val="0"/>
          <w:bCs w:val="0"/>
          <w:spacing w:val="0"/>
          <w:w w:val="100"/>
          <w:sz w:val="44"/>
          <w:szCs w:val="44"/>
        </w:rPr>
        <w:t>广东省人民政府关于连州市2025年度</w:t>
      </w:r>
    </w:p>
    <w:p w14:paraId="7EE21B9E">
      <w:pPr>
        <w:keepNext w:val="0"/>
        <w:keepLines w:val="0"/>
        <w:pageBreakBefore w:val="0"/>
        <w:widowControl/>
        <w:kinsoku w:val="0"/>
        <w:wordWrap/>
        <w:overflowPunct/>
        <w:topLinePunct w:val="0"/>
        <w:autoSpaceDE w:val="0"/>
        <w:autoSpaceDN w:val="0"/>
        <w:bidi w:val="0"/>
        <w:adjustRightInd w:val="0"/>
        <w:snapToGrid w:val="0"/>
        <w:spacing w:line="700" w:lineRule="exact"/>
        <w:ind w:left="0" w:right="0" w:firstLine="0"/>
        <w:jc w:val="center"/>
        <w:textAlignment w:val="baseline"/>
        <w:rPr>
          <w:rFonts w:hint="eastAsia" w:ascii="方正小标宋_GBK" w:hAnsi="方正小标宋_GBK" w:eastAsia="方正小标宋_GBK" w:cs="方正小标宋_GBK"/>
          <w:b w:val="0"/>
          <w:bCs w:val="0"/>
          <w:spacing w:val="0"/>
          <w:w w:val="100"/>
          <w:sz w:val="44"/>
          <w:szCs w:val="44"/>
        </w:rPr>
      </w:pPr>
      <w:r>
        <w:rPr>
          <w:rFonts w:hint="eastAsia" w:ascii="方正小标宋_GBK" w:hAnsi="方正小标宋_GBK" w:eastAsia="方正小标宋_GBK" w:cs="方正小标宋_GBK"/>
          <w:b w:val="0"/>
          <w:bCs w:val="0"/>
          <w:spacing w:val="0"/>
          <w:w w:val="100"/>
          <w:sz w:val="44"/>
          <w:szCs w:val="44"/>
        </w:rPr>
        <w:t>第二十三批次城镇建设用地的批复</w:t>
      </w:r>
    </w:p>
    <w:p w14:paraId="5852F82B">
      <w:pPr>
        <w:spacing w:line="478" w:lineRule="auto"/>
        <w:rPr>
          <w:rFonts w:ascii="Arial"/>
          <w:spacing w:val="0"/>
          <w:w w:val="100"/>
          <w:sz w:val="21"/>
        </w:rPr>
      </w:pPr>
    </w:p>
    <w:p w14:paraId="28B2C8FF">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textAlignment w:val="baseline"/>
        <w:rPr>
          <w:rFonts w:hint="eastAsia" w:ascii="仿宋_GB2312" w:hAnsi="仿宋_GB2312" w:eastAsia="仿宋_GB2312" w:cs="仿宋_GB2312"/>
          <w:spacing w:val="0"/>
          <w:w w:val="100"/>
          <w:sz w:val="32"/>
          <w:szCs w:val="32"/>
        </w:rPr>
      </w:pPr>
      <w:r>
        <w:rPr>
          <w:rFonts w:hint="eastAsia" w:ascii="仿宋_GB2312" w:hAnsi="仿宋_GB2312" w:eastAsia="仿宋_GB2312" w:cs="仿宋_GB2312"/>
          <w:spacing w:val="0"/>
          <w:w w:val="100"/>
          <w:sz w:val="32"/>
          <w:szCs w:val="32"/>
        </w:rPr>
        <w:t>清远市人民政府：</w:t>
      </w:r>
    </w:p>
    <w:p w14:paraId="486B1021">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仿宋_GB2312" w:hAnsi="仿宋_GB2312" w:eastAsia="仿宋_GB2312" w:cs="仿宋_GB2312"/>
          <w:spacing w:val="0"/>
          <w:w w:val="100"/>
          <w:sz w:val="32"/>
          <w:szCs w:val="32"/>
        </w:rPr>
      </w:pPr>
      <w:r>
        <w:rPr>
          <w:rFonts w:hint="eastAsia" w:ascii="仿宋_GB2312" w:hAnsi="仿宋_GB2312" w:eastAsia="仿宋_GB2312" w:cs="仿宋_GB2312"/>
          <w:spacing w:val="0"/>
          <w:w w:val="100"/>
          <w:sz w:val="32"/>
          <w:szCs w:val="32"/>
        </w:rPr>
        <w:t>《关于审批连州市2025年度第二十三批次城镇建设用地的请示》</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清自然资管制报〔2026〕182号</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收悉，现批复如下：</w:t>
      </w:r>
    </w:p>
    <w:p w14:paraId="35741CAC">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仿宋_GB2312" w:hAnsi="仿宋_GB2312" w:eastAsia="仿宋_GB2312" w:cs="仿宋_GB2312"/>
          <w:spacing w:val="0"/>
          <w:w w:val="100"/>
          <w:sz w:val="32"/>
          <w:szCs w:val="32"/>
        </w:rPr>
      </w:pPr>
      <w:r>
        <w:rPr>
          <w:rFonts w:hint="eastAsia" w:ascii="仿宋_GB2312" w:hAnsi="仿宋_GB2312" w:eastAsia="仿宋_GB2312" w:cs="仿宋_GB2312"/>
          <w:spacing w:val="0"/>
          <w:w w:val="100"/>
          <w:sz w:val="32"/>
          <w:szCs w:val="32"/>
        </w:rPr>
        <w:t>一、同意连州市2025年度第二十三批次城镇建设用地办理农用地转用和土地征收手续。</w:t>
      </w:r>
    </w:p>
    <w:p w14:paraId="215C716E">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仿宋_GB2312" w:hAnsi="仿宋_GB2312" w:eastAsia="仿宋_GB2312" w:cs="仿宋_GB2312"/>
          <w:spacing w:val="0"/>
          <w:w w:val="100"/>
          <w:sz w:val="32"/>
          <w:szCs w:val="32"/>
        </w:rPr>
      </w:pPr>
      <w:r>
        <w:rPr>
          <w:rFonts w:hint="eastAsia" w:ascii="仿宋_GB2312" w:hAnsi="仿宋_GB2312" w:eastAsia="仿宋_GB2312" w:cs="仿宋_GB2312"/>
          <w:spacing w:val="0"/>
          <w:w w:val="100"/>
          <w:sz w:val="32"/>
          <w:szCs w:val="32"/>
        </w:rPr>
        <w:t>二、同意你市将农民集体所有农用地1.4869公顷</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耕地0.6070公顷，含水田0.5716公顷</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转为建设用地并办理征地手续</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上述1.4869公顷用地由当地人民政府按照经依法批准的国土空间规划确定的用途供应。</w:t>
      </w:r>
    </w:p>
    <w:p w14:paraId="0ABC4324">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仿宋_GB2312" w:hAnsi="仿宋_GB2312" w:eastAsia="仿宋_GB2312" w:cs="仿宋_GB2312"/>
          <w:spacing w:val="0"/>
          <w:w w:val="100"/>
          <w:sz w:val="32"/>
          <w:szCs w:val="32"/>
        </w:rPr>
      </w:pPr>
      <w:r>
        <w:rPr>
          <w:rFonts w:hint="eastAsia" w:ascii="仿宋_GB2312" w:hAnsi="仿宋_GB2312" w:eastAsia="仿宋_GB2312" w:cs="仿宋_GB2312"/>
          <w:spacing w:val="0"/>
          <w:w w:val="100"/>
          <w:sz w:val="32"/>
          <w:szCs w:val="32"/>
        </w:rPr>
        <w:t>三、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w:t>
      </w:r>
      <w:bookmarkStart w:id="0" w:name="_GoBack"/>
      <w:r>
        <w:rPr>
          <w:rFonts w:hint="eastAsia" w:ascii="仿宋_GB2312" w:hAnsi="仿宋_GB2312" w:eastAsia="仿宋_GB2312" w:cs="仿宋_GB2312"/>
          <w:spacing w:val="0"/>
          <w:w w:val="100"/>
          <w:sz w:val="32"/>
          <w:szCs w:val="32"/>
        </w:rPr>
        <w:t>远生计有保障。征地补偿安置不落实的，不得动工用地。你市相关不动产登记机构以此办理集体土地所有权注销或变更登记</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有关工业项目必须符合安全、环保、效益三条底线。</w:t>
      </w:r>
    </w:p>
    <w:p w14:paraId="707F2986">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仿宋_GB2312" w:hAnsi="仿宋_GB2312" w:eastAsia="仿宋_GB2312" w:cs="仿宋_GB2312"/>
          <w:spacing w:val="0"/>
          <w:w w:val="100"/>
          <w:sz w:val="32"/>
          <w:szCs w:val="32"/>
        </w:rPr>
        <w:sectPr>
          <w:pgSz w:w="11900" w:h="16840"/>
          <w:pgMar w:top="2211" w:right="1474" w:bottom="1871" w:left="1587" w:header="0" w:footer="852" w:gutter="0"/>
          <w:cols w:space="720" w:num="1"/>
        </w:sectPr>
      </w:pPr>
    </w:p>
    <w:bookmarkEnd w:id="0"/>
    <w:p w14:paraId="1594B740">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仿宋_GB2312" w:hAnsi="仿宋_GB2312" w:eastAsia="仿宋_GB2312" w:cs="仿宋_GB2312"/>
          <w:spacing w:val="0"/>
          <w:w w:val="100"/>
          <w:sz w:val="32"/>
          <w:szCs w:val="32"/>
        </w:rPr>
      </w:pPr>
      <w:r>
        <w:rPr>
          <w:rFonts w:hint="eastAsia" w:ascii="仿宋_GB2312" w:hAnsi="仿宋_GB2312" w:eastAsia="仿宋_GB2312" w:cs="仿宋_GB2312"/>
          <w:spacing w:val="0"/>
          <w:w w:val="100"/>
          <w:sz w:val="32"/>
          <w:szCs w:val="32"/>
        </w:rPr>
        <w:t>四、请你市人民政府负责落实补充耕地。督促补充耕地责任单位认真按照补充耕地方案、补充数量相等、质量相当的耕地，落实建设占用耕地耕作层土壤剥离利用。</w:t>
      </w:r>
    </w:p>
    <w:p w14:paraId="0147B02D">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仿宋_GB2312" w:hAnsi="仿宋_GB2312" w:eastAsia="仿宋_GB2312" w:cs="仿宋_GB2312"/>
          <w:spacing w:val="0"/>
          <w:w w:val="100"/>
          <w:sz w:val="32"/>
          <w:szCs w:val="32"/>
          <w:lang w:eastAsia="zh-CN"/>
        </w:rPr>
      </w:pPr>
      <w:r>
        <w:rPr>
          <w:rFonts w:hint="eastAsia" w:ascii="仿宋_GB2312" w:hAnsi="仿宋_GB2312" w:eastAsia="仿宋_GB2312" w:cs="仿宋_GB2312"/>
          <w:spacing w:val="0"/>
          <w:w w:val="100"/>
          <w:sz w:val="32"/>
          <w:szCs w:val="32"/>
        </w:rPr>
        <w:t>五、严格按照国家有关规定缴纳新增建设用地土地有偿使用费</w:t>
      </w:r>
      <w:r>
        <w:rPr>
          <w:rFonts w:hint="eastAsia" w:ascii="仿宋_GB2312" w:hAnsi="仿宋_GB2312" w:eastAsia="仿宋_GB2312" w:cs="仿宋_GB2312"/>
          <w:spacing w:val="0"/>
          <w:w w:val="100"/>
          <w:sz w:val="32"/>
          <w:szCs w:val="32"/>
          <w:lang w:eastAsia="zh-CN"/>
        </w:rPr>
        <w:t>。</w:t>
      </w:r>
    </w:p>
    <w:p w14:paraId="679450C8">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仿宋_GB2312" w:hAnsi="仿宋_GB2312" w:eastAsia="仿宋_GB2312" w:cs="仿宋_GB2312"/>
          <w:spacing w:val="0"/>
          <w:w w:val="100"/>
          <w:sz w:val="32"/>
          <w:szCs w:val="32"/>
          <w:lang w:eastAsia="zh-CN"/>
        </w:rPr>
      </w:pPr>
    </w:p>
    <w:p w14:paraId="4D44CFE1">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仿宋_GB2312" w:hAnsi="仿宋_GB2312" w:eastAsia="仿宋_GB2312" w:cs="仿宋_GB2312"/>
          <w:spacing w:val="0"/>
          <w:w w:val="100"/>
          <w:sz w:val="32"/>
          <w:szCs w:val="32"/>
          <w:lang w:eastAsia="zh-CN"/>
        </w:rPr>
      </w:pPr>
    </w:p>
    <w:p w14:paraId="40D54610">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仿宋_GB2312" w:hAnsi="仿宋_GB2312" w:eastAsia="仿宋_GB2312" w:cs="仿宋_GB2312"/>
          <w:spacing w:val="0"/>
          <w:w w:val="100"/>
          <w:sz w:val="32"/>
          <w:szCs w:val="32"/>
          <w:lang w:val="en-US" w:eastAsia="zh-CN"/>
        </w:rPr>
      </w:pPr>
    </w:p>
    <w:p w14:paraId="2E89EE02">
      <w:pPr>
        <w:pStyle w:val="2"/>
        <w:wordWrap w:val="0"/>
        <w:spacing w:before="101" w:line="223" w:lineRule="auto"/>
        <w:ind w:left="5149"/>
        <w:jc w:val="right"/>
        <w:rPr>
          <w:rFonts w:hint="default" w:ascii="仿宋_GB2312" w:hAnsi="仿宋_GB2312" w:eastAsia="仿宋_GB2312" w:cs="仿宋_GB2312"/>
          <w:spacing w:val="0"/>
          <w:w w:val="100"/>
          <w:sz w:val="32"/>
          <w:szCs w:val="32"/>
          <w:lang w:val="en-US" w:eastAsia="zh-CN"/>
        </w:rPr>
      </w:pPr>
      <w:r>
        <w:rPr>
          <w:rFonts w:hint="eastAsia" w:ascii="仿宋_GB2312" w:hAnsi="仿宋_GB2312" w:eastAsia="仿宋_GB2312" w:cs="仿宋_GB2312"/>
          <w:spacing w:val="0"/>
          <w:w w:val="100"/>
          <w:kern w:val="0"/>
          <w:sz w:val="32"/>
          <w:szCs w:val="32"/>
          <w:fitText w:val="2240" w:id="1292908268"/>
        </w:rPr>
        <w:t>广东省人民政府</w:t>
      </w:r>
      <w:r>
        <w:rPr>
          <w:rFonts w:hint="eastAsia" w:ascii="仿宋_GB2312" w:hAnsi="仿宋_GB2312" w:eastAsia="仿宋_GB2312" w:cs="仿宋_GB2312"/>
          <w:spacing w:val="0"/>
          <w:w w:val="100"/>
          <w:sz w:val="32"/>
          <w:szCs w:val="32"/>
          <w:lang w:val="en-US" w:eastAsia="zh-CN"/>
        </w:rPr>
        <w:t xml:space="preserve">        </w:t>
      </w:r>
    </w:p>
    <w:p w14:paraId="5D12B4CA">
      <w:pPr>
        <w:pStyle w:val="2"/>
        <w:wordWrap w:val="0"/>
        <w:spacing w:before="124" w:line="222" w:lineRule="auto"/>
        <w:ind w:left="5020"/>
        <w:jc w:val="right"/>
        <w:rPr>
          <w:rFonts w:hint="default" w:ascii="仿宋_GB2312" w:hAnsi="仿宋_GB2312" w:eastAsia="仿宋_GB2312" w:cs="仿宋_GB2312"/>
          <w:spacing w:val="0"/>
          <w:w w:val="100"/>
          <w:sz w:val="32"/>
          <w:szCs w:val="32"/>
          <w:lang w:val="en-US" w:eastAsia="zh-CN"/>
        </w:rPr>
      </w:pPr>
      <w:r>
        <w:rPr>
          <w:rFonts w:hint="eastAsia" w:ascii="仿宋_GB2312" w:hAnsi="仿宋_GB2312" w:eastAsia="仿宋_GB2312" w:cs="仿宋_GB2312"/>
          <w:spacing w:val="17"/>
          <w:w w:val="100"/>
          <w:kern w:val="0"/>
          <w:sz w:val="32"/>
          <w:szCs w:val="32"/>
          <w:fitText w:val="2240" w:id="1836066055"/>
        </w:rPr>
        <w:t>2026年9月14</w:t>
      </w:r>
      <w:r>
        <w:rPr>
          <w:rFonts w:hint="eastAsia" w:ascii="仿宋_GB2312" w:hAnsi="仿宋_GB2312" w:eastAsia="仿宋_GB2312" w:cs="仿宋_GB2312"/>
          <w:spacing w:val="7"/>
          <w:w w:val="100"/>
          <w:kern w:val="0"/>
          <w:sz w:val="32"/>
          <w:szCs w:val="32"/>
          <w:fitText w:val="2240" w:id="1836066055"/>
        </w:rPr>
        <w:t>日</w:t>
      </w:r>
      <w:r>
        <w:rPr>
          <w:rFonts w:hint="eastAsia" w:ascii="仿宋_GB2312" w:hAnsi="仿宋_GB2312" w:eastAsia="仿宋_GB2312" w:cs="仿宋_GB2312"/>
          <w:spacing w:val="0"/>
          <w:w w:val="100"/>
          <w:sz w:val="32"/>
          <w:szCs w:val="32"/>
          <w:lang w:val="en-US" w:eastAsia="zh-CN"/>
        </w:rPr>
        <w:t xml:space="preserve">        </w:t>
      </w:r>
    </w:p>
    <w:p w14:paraId="54AF12DD">
      <w:pPr>
        <w:spacing w:line="247" w:lineRule="auto"/>
        <w:rPr>
          <w:rFonts w:hint="eastAsia" w:ascii="仿宋_GB2312" w:hAnsi="仿宋_GB2312" w:eastAsia="仿宋_GB2312" w:cs="仿宋_GB2312"/>
          <w:spacing w:val="0"/>
          <w:w w:val="100"/>
          <w:sz w:val="32"/>
          <w:szCs w:val="32"/>
        </w:rPr>
      </w:pPr>
    </w:p>
    <w:p w14:paraId="24C25FAC">
      <w:pPr>
        <w:spacing w:line="247" w:lineRule="auto"/>
        <w:rPr>
          <w:rFonts w:hint="eastAsia" w:ascii="仿宋_GB2312" w:hAnsi="仿宋_GB2312" w:eastAsia="仿宋_GB2312" w:cs="仿宋_GB2312"/>
          <w:spacing w:val="0"/>
          <w:w w:val="100"/>
          <w:sz w:val="32"/>
          <w:szCs w:val="32"/>
        </w:rPr>
      </w:pPr>
    </w:p>
    <w:p w14:paraId="05DFFAD0">
      <w:pPr>
        <w:spacing w:line="247" w:lineRule="auto"/>
        <w:rPr>
          <w:rFonts w:hint="eastAsia" w:ascii="仿宋_GB2312" w:hAnsi="仿宋_GB2312" w:eastAsia="仿宋_GB2312" w:cs="仿宋_GB2312"/>
          <w:spacing w:val="0"/>
          <w:w w:val="100"/>
          <w:sz w:val="32"/>
          <w:szCs w:val="32"/>
        </w:rPr>
      </w:pPr>
    </w:p>
    <w:p w14:paraId="38768803">
      <w:pPr>
        <w:spacing w:line="247" w:lineRule="auto"/>
        <w:rPr>
          <w:rFonts w:hint="eastAsia" w:ascii="仿宋_GB2312" w:hAnsi="仿宋_GB2312" w:eastAsia="仿宋_GB2312" w:cs="仿宋_GB2312"/>
          <w:spacing w:val="0"/>
          <w:w w:val="100"/>
          <w:sz w:val="32"/>
          <w:szCs w:val="32"/>
        </w:rPr>
      </w:pPr>
    </w:p>
    <w:p w14:paraId="43102150">
      <w:pPr>
        <w:spacing w:line="247" w:lineRule="auto"/>
        <w:rPr>
          <w:rFonts w:ascii="Arial" w:eastAsia="方正仿宋_GB2312"/>
          <w:spacing w:val="0"/>
          <w:w w:val="100"/>
          <w:sz w:val="21"/>
        </w:rPr>
      </w:pPr>
    </w:p>
    <w:sectPr>
      <w:footerReference r:id="rId5" w:type="default"/>
      <w:pgSz w:w="11900" w:h="16840"/>
      <w:pgMar w:top="2211" w:right="1474" w:bottom="1871" w:left="1587" w:header="0" w:footer="96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D06AED0-1B0F-4690-A934-E5803E4C63F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altName w:val="方正仿宋_GB2312"/>
    <w:panose1 w:val="02000000000000000000"/>
    <w:charset w:val="86"/>
    <w:family w:val="auto"/>
    <w:pitch w:val="default"/>
    <w:sig w:usb0="A00002BF" w:usb1="184F6CFA" w:usb2="00000012" w:usb3="00000000" w:csb0="00040001" w:csb1="00000000"/>
    <w:embedRegular r:id="rId2" w:fontKey="{FE033001-6A8A-430B-B72C-703CDD79DF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EDA9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1BD4A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3"/>
      <w:szCs w:val="33"/>
      <w:lang w:val="en-US" w:eastAsia="en-US"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60c4acc2-d0ec-41ad-8f92-f133e6e170dc}">
  <ds:schemaRefs/>
</ds:datastoreItem>
</file>

<file path=docProps/app.xml><?xml version="1.0" encoding="utf-8"?>
<Properties xmlns="http://schemas.openxmlformats.org/officeDocument/2006/extended-properties" xmlns:vt="http://schemas.openxmlformats.org/officeDocument/2006/docPropsVTypes">
  <Pages>2</Pages>
  <Words>667</Words>
  <Characters>713</Characters>
  <TotalTime>11</TotalTime>
  <ScaleCrop>false</ScaleCrop>
  <LinksUpToDate>false</LinksUpToDate>
  <CharactersWithSpaces>740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2026-09-17T15:12:00Z</dcterms:created>
  <dc:creator>18926</dc:creator>
  <cp:lastModifiedBy>Mr.Bo</cp:lastModifiedBy>
  <dcterms:modified xsi:type="dcterms:W3CDTF">2026-09-17T07:24:46Z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2026-09-17T15:12:57Z</vt:filetime>
  </property>
  <property fmtid="{D5CDD505-2E9C-101B-9397-08002B2CF9AE}" pid="4" name="UsrData">
    <vt:lpwstr>6aab92f43d7eef001ff705f4wl</vt:lpwstr>
  </property>
  <property fmtid="{D5CDD505-2E9C-101B-9397-08002B2CF9AE}" pid="5" name="KSOTemplateDocerSaveRecord">
    <vt:lpwstr>eyJoZGlkIjoiNjU0MmQ2YzA2OTE1MmFiZGQ4MDQ5NjRkOTA4OGJmYTYiLCJ1c2VySWQiOiIxNDU4MjUzOTkwIn0=</vt:lpwstr>
  </property>
  <property fmtid="{D5CDD505-2E9C-101B-9397-08002B2CF9AE}" pid="6" name="KSOProductBuildVer">
    <vt:lpwstr>2052-12.1.0.28505</vt:lpwstr>
  </property>
  <property fmtid="{D5CDD505-2E9C-101B-9397-08002B2CF9AE}" pid="7" name="ICV">
    <vt:lpwstr>F92AFF81ACB34E7AAE6B62740B7F261D_12</vt:lpwstr>
  </property>
</Properties>
</file>