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360" w:lineRule="auto"/>
        <w:ind w:left="0" w:leftChars="0" w:firstLine="0" w:firstLineChars="0"/>
        <w:jc w:val="center"/>
        <w:rPr>
          <w:rFonts w:hint="eastAsia" w:ascii="方正小标宋简体" w:hAnsi="方正小标宋简体" w:eastAsia="方正小标宋简体" w:cs="Times New Roman"/>
          <w:b w:val="0"/>
          <w:bCs w:val="0"/>
          <w:kern w:val="2"/>
          <w:sz w:val="44"/>
          <w:szCs w:val="44"/>
          <w:lang w:val="en-US" w:eastAsia="zh-CN"/>
        </w:rPr>
      </w:pPr>
    </w:p>
    <w:p>
      <w:pPr>
        <w:pStyle w:val="6"/>
        <w:spacing w:line="360" w:lineRule="auto"/>
        <w:ind w:left="0" w:leftChars="0" w:firstLine="0" w:firstLineChars="0"/>
        <w:jc w:val="center"/>
        <w:rPr>
          <w:rFonts w:hint="eastAsia"/>
          <w:b/>
        </w:rPr>
      </w:pPr>
      <w:r>
        <w:rPr>
          <w:rFonts w:hint="eastAsia" w:ascii="方正小标宋简体" w:hAnsi="方正小标宋简体" w:eastAsia="方正小标宋简体" w:cs="Times New Roman"/>
          <w:b w:val="0"/>
          <w:bCs w:val="0"/>
          <w:kern w:val="2"/>
          <w:sz w:val="44"/>
          <w:szCs w:val="44"/>
          <w:lang w:val="en-US" w:eastAsia="zh-CN"/>
        </w:rPr>
        <w:t>连州市保安镇新区控制性详细规划局部  地块调整方案说明</w:t>
      </w:r>
    </w:p>
    <w:p>
      <w:pPr>
        <w:pStyle w:val="6"/>
        <w:spacing w:line="360" w:lineRule="auto"/>
        <w:rPr>
          <w:rFonts w:hint="eastAsia" w:ascii="黑体" w:hAnsi="黑体" w:eastAsia="黑体" w:cs="黑体"/>
          <w:b w:val="0"/>
          <w:bCs w:val="0"/>
          <w:color w:val="000000"/>
          <w:spacing w:val="0"/>
          <w:w w:val="100"/>
          <w:kern w:val="0"/>
          <w:sz w:val="32"/>
          <w:szCs w:val="32"/>
          <w:u w:val="none" w:color="000000"/>
          <w:vertAlign w:val="baseline"/>
          <w:lang w:val="en-US" w:eastAsia="zh-CN" w:bidi="ar-SA"/>
        </w:rPr>
      </w:pPr>
      <w:r>
        <w:rPr>
          <w:rFonts w:hint="eastAsia" w:ascii="黑体" w:hAnsi="黑体" w:eastAsia="黑体" w:cs="黑体"/>
          <w:b w:val="0"/>
          <w:bCs w:val="0"/>
          <w:color w:val="000000"/>
          <w:spacing w:val="0"/>
          <w:w w:val="100"/>
          <w:kern w:val="0"/>
          <w:sz w:val="32"/>
          <w:szCs w:val="32"/>
          <w:u w:val="none" w:color="000000"/>
          <w:vertAlign w:val="baseline"/>
          <w:lang w:val="en-US" w:eastAsia="zh-CN" w:bidi="ar-SA"/>
        </w:rPr>
        <w:t>一、调规背景</w:t>
      </w:r>
    </w:p>
    <w:p>
      <w:pPr>
        <w:pStyle w:val="6"/>
        <w:spacing w:line="360" w:lineRule="auto"/>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连州市保安镇新区控制性详细规划》批准实施以来，对片区内土地开发、基础设施建设和空间有序发展起到了法定依据作用，但是，也存在方案可实施性明显不足等问题。考虑国土空间规划过渡期与现有空间规划的衔接协同，为提高发展的科学性，解决原控规中部分用地与当前实际需求存在的矛盾，经保安镇人民政府批准，对连州市保安镇新区控制性详细规划相关内容及地块规划进行局部调整。</w:t>
      </w:r>
    </w:p>
    <w:p>
      <w:pPr>
        <w:pStyle w:val="6"/>
        <w:spacing w:line="360" w:lineRule="auto"/>
        <w:rPr>
          <w:rFonts w:hint="eastAsia" w:ascii="黑体" w:hAnsi="黑体" w:eastAsia="黑体" w:cs="黑体"/>
          <w:b w:val="0"/>
          <w:bCs w:val="0"/>
          <w:color w:val="000000"/>
          <w:spacing w:val="0"/>
          <w:w w:val="100"/>
          <w:kern w:val="0"/>
          <w:sz w:val="32"/>
          <w:szCs w:val="32"/>
          <w:u w:val="none" w:color="000000"/>
          <w:vertAlign w:val="baseline"/>
          <w:lang w:val="en-US" w:eastAsia="zh-CN" w:bidi="ar-SA"/>
        </w:rPr>
      </w:pPr>
      <w:r>
        <w:rPr>
          <w:rFonts w:hint="eastAsia" w:ascii="黑体" w:hAnsi="黑体" w:eastAsia="黑体" w:cs="黑体"/>
          <w:b w:val="0"/>
          <w:bCs w:val="0"/>
          <w:color w:val="000000"/>
          <w:spacing w:val="0"/>
          <w:w w:val="100"/>
          <w:kern w:val="0"/>
          <w:sz w:val="32"/>
          <w:szCs w:val="32"/>
          <w:u w:val="none" w:color="000000"/>
          <w:vertAlign w:val="baseline"/>
          <w:lang w:val="en-US" w:eastAsia="zh-CN" w:bidi="ar-SA"/>
        </w:rPr>
        <w:t>二、规划范围</w:t>
      </w:r>
    </w:p>
    <w:p>
      <w:pPr>
        <w:pStyle w:val="6"/>
        <w:spacing w:line="360" w:lineRule="auto"/>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本项目范围为连州市保安镇新区，北抵福山风景区，南至387县道，西至万全洞，东临保安镇现状城区，围合而成的地块。拟调整保安镇新区局部地块11处，均为城镇建设用地。规划用地面积58.65公顷。</w:t>
      </w:r>
    </w:p>
    <w:p>
      <w:pPr>
        <w:pStyle w:val="6"/>
        <w:spacing w:line="360" w:lineRule="auto"/>
      </w:pPr>
    </w:p>
    <w:p>
      <w:pPr>
        <w:pStyle w:val="6"/>
        <w:spacing w:line="360" w:lineRule="auto"/>
      </w:pPr>
      <w:r>
        <w:drawing>
          <wp:inline distT="0" distB="0" distL="0" distR="0">
            <wp:extent cx="5274310" cy="43180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4310" cy="4318000"/>
                    </a:xfrm>
                    <a:prstGeom prst="rect">
                      <a:avLst/>
                    </a:prstGeom>
                  </pic:spPr>
                </pic:pic>
              </a:graphicData>
            </a:graphic>
          </wp:inline>
        </w:drawing>
      </w:r>
    </w:p>
    <w:p>
      <w:pPr>
        <w:spacing w:line="360" w:lineRule="auto"/>
        <w:jc w:val="center"/>
        <w:rPr>
          <w:b/>
        </w:rPr>
      </w:pPr>
      <w:r>
        <w:rPr>
          <w:rFonts w:hint="eastAsia"/>
          <w:b/>
        </w:rPr>
        <w:t>图1：区位图</w:t>
      </w:r>
    </w:p>
    <w:p>
      <w:pPr>
        <w:spacing w:line="360" w:lineRule="auto"/>
        <w:rPr>
          <w:rFonts w:hint="eastAsia"/>
          <w:b/>
        </w:rPr>
      </w:pPr>
    </w:p>
    <w:p>
      <w:pPr>
        <w:pStyle w:val="6"/>
        <w:spacing w:line="360" w:lineRule="auto"/>
        <w:rPr>
          <w:rFonts w:hint="eastAsia" w:ascii="黑体" w:hAnsi="黑体" w:eastAsia="黑体" w:cs="黑体"/>
          <w:b w:val="0"/>
          <w:bCs w:val="0"/>
          <w:color w:val="000000"/>
          <w:spacing w:val="0"/>
          <w:w w:val="100"/>
          <w:kern w:val="0"/>
          <w:sz w:val="32"/>
          <w:szCs w:val="32"/>
          <w:u w:val="none" w:color="000000"/>
          <w:vertAlign w:val="baseline"/>
          <w:lang w:val="en-US" w:eastAsia="zh-CN" w:bidi="ar-SA"/>
        </w:rPr>
      </w:pPr>
      <w:r>
        <w:rPr>
          <w:rFonts w:hint="eastAsia" w:ascii="黑体" w:hAnsi="黑体" w:eastAsia="黑体" w:cs="黑体"/>
          <w:b w:val="0"/>
          <w:bCs w:val="0"/>
          <w:color w:val="000000"/>
          <w:spacing w:val="0"/>
          <w:w w:val="100"/>
          <w:kern w:val="0"/>
          <w:sz w:val="32"/>
          <w:szCs w:val="32"/>
          <w:u w:val="none" w:color="000000"/>
          <w:vertAlign w:val="baseline"/>
          <w:lang w:val="en-US" w:eastAsia="zh-CN" w:bidi="ar-SA"/>
        </w:rPr>
        <w:t>三、主要调整内容</w:t>
      </w:r>
    </w:p>
    <w:p>
      <w:pPr>
        <w:spacing w:line="360" w:lineRule="auto"/>
        <w:ind w:firstLine="640" w:firstLineChars="20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本次规划用地调整以局部修正为主，减少经营性建设用地，增加公益性建设用地；调整留成地位置，用地性质不变；完善公共服务配套设施，不改变城镇的总体结构格局。</w:t>
      </w:r>
    </w:p>
    <w:p>
      <w:pPr>
        <w:pStyle w:val="6"/>
        <w:numPr>
          <w:ilvl w:val="0"/>
          <w:numId w:val="1"/>
        </w:numPr>
        <w:spacing w:line="360" w:lineRule="auto"/>
        <w:ind w:firstLineChars="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原控规中的旅馆用地和原艺术传媒用地，调整为消防用地和旅馆用地；</w:t>
      </w:r>
    </w:p>
    <w:p>
      <w:pPr>
        <w:pStyle w:val="6"/>
        <w:numPr>
          <w:ilvl w:val="0"/>
          <w:numId w:val="1"/>
        </w:numPr>
        <w:spacing w:line="360" w:lineRule="auto"/>
        <w:ind w:firstLineChars="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原控规中的社会停车场用地和交通枢纽用地，调整为交通枢纽用地和广场用地；</w:t>
      </w:r>
    </w:p>
    <w:p>
      <w:pPr>
        <w:pStyle w:val="6"/>
        <w:numPr>
          <w:ilvl w:val="0"/>
          <w:numId w:val="1"/>
        </w:numPr>
        <w:spacing w:line="360" w:lineRule="auto"/>
        <w:ind w:firstLineChars="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原控规中的零售商业用地，调整为社会停车场用地和二类居住用地（留成地）；</w:t>
      </w:r>
    </w:p>
    <w:p>
      <w:pPr>
        <w:pStyle w:val="6"/>
        <w:numPr>
          <w:ilvl w:val="0"/>
          <w:numId w:val="1"/>
        </w:numPr>
        <w:spacing w:line="360" w:lineRule="auto"/>
        <w:ind w:firstLineChars="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原控规中的二类居住用地，调整为商住混合用地；</w:t>
      </w:r>
    </w:p>
    <w:p>
      <w:pPr>
        <w:pStyle w:val="6"/>
        <w:numPr>
          <w:ilvl w:val="0"/>
          <w:numId w:val="1"/>
        </w:numPr>
        <w:spacing w:line="360" w:lineRule="auto"/>
        <w:ind w:firstLineChars="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原控规中的二类居住用地，调整为二类居住用地（廖村留成地和幼儿园位置调整）和批发市场用地；</w:t>
      </w:r>
    </w:p>
    <w:p>
      <w:pPr>
        <w:pStyle w:val="6"/>
        <w:numPr>
          <w:ilvl w:val="0"/>
          <w:numId w:val="1"/>
        </w:numPr>
        <w:spacing w:line="360" w:lineRule="auto"/>
        <w:ind w:firstLineChars="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原控规中的二类居住用地和批发市场用地，调整为商住混合用地和二类居住用地；</w:t>
      </w:r>
    </w:p>
    <w:p>
      <w:pPr>
        <w:pStyle w:val="6"/>
        <w:numPr>
          <w:ilvl w:val="0"/>
          <w:numId w:val="1"/>
        </w:numPr>
        <w:spacing w:line="360" w:lineRule="auto"/>
        <w:ind w:firstLineChars="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原控规中的二类居住用地，调整为行政办公用地（派出所）和二类居住用地；</w:t>
      </w:r>
    </w:p>
    <w:p>
      <w:pPr>
        <w:pStyle w:val="6"/>
        <w:numPr>
          <w:ilvl w:val="0"/>
          <w:numId w:val="1"/>
        </w:numPr>
        <w:spacing w:line="360" w:lineRule="auto"/>
        <w:ind w:firstLineChars="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原控规中的二类居住用地、消防用地和防护绿地，调整为排水设施用地和防护绿地；</w:t>
      </w:r>
    </w:p>
    <w:p>
      <w:pPr>
        <w:pStyle w:val="6"/>
        <w:numPr>
          <w:ilvl w:val="0"/>
          <w:numId w:val="1"/>
        </w:numPr>
        <w:spacing w:line="360" w:lineRule="auto"/>
        <w:ind w:firstLineChars="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原控规中的商住混合用地、二类居住用地、排水设施用地和防护绿地，调整为商住混合用地、二类居住用地和防护绿地；</w:t>
      </w:r>
    </w:p>
    <w:p>
      <w:pPr>
        <w:pStyle w:val="6"/>
        <w:numPr>
          <w:ilvl w:val="0"/>
          <w:numId w:val="1"/>
        </w:numPr>
        <w:spacing w:line="360" w:lineRule="auto"/>
        <w:ind w:firstLineChars="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原控规中的二类居住用地，调整为商住混合用地；</w:t>
      </w:r>
    </w:p>
    <w:p>
      <w:pPr>
        <w:pStyle w:val="6"/>
        <w:numPr>
          <w:ilvl w:val="0"/>
          <w:numId w:val="1"/>
        </w:numPr>
        <w:spacing w:line="360" w:lineRule="auto"/>
        <w:ind w:firstLineChars="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原控规中的二类居住用地，调整为商住混合用地和二类居住用地；</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bookmarkStart w:id="0" w:name="_GoBack"/>
      <w:bookmarkEnd w:id="0"/>
      <w:r>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t>对以上设计调整地地块规划指标同时进行调整，规划范围内其余未调整地块按原控规指标均保持不变。</w:t>
      </w:r>
    </w:p>
    <w:p>
      <w:pPr>
        <w:pStyle w:val="6"/>
        <w:numPr>
          <w:numId w:val="0"/>
        </w:numPr>
        <w:spacing w:line="360" w:lineRule="auto"/>
        <w:ind w:left="420" w:leftChars="0"/>
        <w:rPr>
          <w:rFonts w:hint="eastAsia" w:ascii="仿宋_GB2312" w:hAnsi="宋体" w:eastAsia="仿宋_GB2312" w:cs="Times New Roman"/>
          <w:b w:val="0"/>
          <w:bCs w:val="0"/>
          <w:color w:val="000000"/>
          <w:spacing w:val="0"/>
          <w:w w:val="100"/>
          <w:kern w:val="0"/>
          <w:sz w:val="32"/>
          <w:szCs w:val="32"/>
          <w:u w:val="none" w:color="000000"/>
          <w:vertAlign w:val="baseline"/>
          <w:lang w:val="en-US" w:eastAsia="zh-CN" w:bidi="ar-SA"/>
        </w:rPr>
      </w:pPr>
    </w:p>
    <w:p>
      <w:pPr>
        <w:pStyle w:val="6"/>
        <w:spacing w:line="360" w:lineRule="auto"/>
        <w:ind w:left="780" w:firstLine="0" w:firstLineChars="0"/>
      </w:pPr>
    </w:p>
    <w:p>
      <w:pPr>
        <w:pStyle w:val="6"/>
        <w:spacing w:line="360" w:lineRule="auto"/>
        <w:ind w:leftChars="-270" w:right="-483" w:rightChars="-230" w:hanging="567" w:hangingChars="270"/>
        <w:jc w:val="center"/>
      </w:pPr>
      <w:r>
        <w:drawing>
          <wp:inline distT="0" distB="0" distL="0" distR="0">
            <wp:extent cx="6161405" cy="43484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96710" cy="4373491"/>
                    </a:xfrm>
                    <a:prstGeom prst="rect">
                      <a:avLst/>
                    </a:prstGeom>
                    <a:noFill/>
                    <a:ln>
                      <a:noFill/>
                    </a:ln>
                  </pic:spPr>
                </pic:pic>
              </a:graphicData>
            </a:graphic>
          </wp:inline>
        </w:drawing>
      </w:r>
    </w:p>
    <w:p>
      <w:pPr>
        <w:pStyle w:val="6"/>
        <w:spacing w:line="360" w:lineRule="auto"/>
        <w:ind w:left="780" w:firstLine="0" w:firstLineChars="0"/>
        <w:jc w:val="center"/>
        <w:rPr>
          <w:b/>
        </w:rPr>
      </w:pPr>
    </w:p>
    <w:p>
      <w:pPr>
        <w:pStyle w:val="6"/>
        <w:spacing w:line="360" w:lineRule="auto"/>
        <w:ind w:left="780" w:firstLine="0" w:firstLineChars="0"/>
        <w:jc w:val="center"/>
        <w:rPr>
          <w:b/>
        </w:rPr>
      </w:pPr>
      <w:r>
        <w:rPr>
          <w:rFonts w:hint="eastAsia"/>
          <w:b/>
        </w:rPr>
        <w:t>图2：调整前后对比图</w:t>
      </w:r>
    </w:p>
    <w:p>
      <w:pPr>
        <w:spacing w:line="360" w:lineRule="auto"/>
      </w:pPr>
      <w:r>
        <w:rPr>
          <w:rFonts w:hint="eastAsia"/>
        </w:rPr>
        <w:drawing>
          <wp:inline distT="0" distB="0" distL="0" distR="0">
            <wp:extent cx="5274310" cy="74663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466330"/>
                    </a:xfrm>
                    <a:prstGeom prst="rect">
                      <a:avLst/>
                    </a:prstGeom>
                  </pic:spPr>
                </pic:pic>
              </a:graphicData>
            </a:graphic>
          </wp:inline>
        </w:drawing>
      </w:r>
    </w:p>
    <w:p>
      <w:pPr>
        <w:spacing w:line="360" w:lineRule="auto"/>
        <w:jc w:val="center"/>
        <w:rPr>
          <w:b/>
        </w:rPr>
      </w:pPr>
      <w:r>
        <w:rPr>
          <w:rFonts w:hint="eastAsia"/>
          <w:b/>
        </w:rPr>
        <w:t>图3：土地利用规划图（调整后）</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B27BC"/>
    <w:multiLevelType w:val="multilevel"/>
    <w:tmpl w:val="34BB27BC"/>
    <w:lvl w:ilvl="0" w:tentative="0">
      <w:start w:val="1"/>
      <w:numFmt w:val="decimal"/>
      <w:suff w:val="spac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0F9"/>
    <w:rsid w:val="0002695A"/>
    <w:rsid w:val="00085FBB"/>
    <w:rsid w:val="000A4581"/>
    <w:rsid w:val="000D4D7E"/>
    <w:rsid w:val="001359FF"/>
    <w:rsid w:val="00153498"/>
    <w:rsid w:val="00175487"/>
    <w:rsid w:val="001A1B77"/>
    <w:rsid w:val="001A4B5C"/>
    <w:rsid w:val="001A5177"/>
    <w:rsid w:val="001E5183"/>
    <w:rsid w:val="002007E3"/>
    <w:rsid w:val="00212D0B"/>
    <w:rsid w:val="00220CF1"/>
    <w:rsid w:val="00226337"/>
    <w:rsid w:val="00293CB4"/>
    <w:rsid w:val="002B4AA9"/>
    <w:rsid w:val="002C24EA"/>
    <w:rsid w:val="002C36CA"/>
    <w:rsid w:val="002E158B"/>
    <w:rsid w:val="00316605"/>
    <w:rsid w:val="0033179A"/>
    <w:rsid w:val="00333447"/>
    <w:rsid w:val="0036566C"/>
    <w:rsid w:val="00371986"/>
    <w:rsid w:val="003938FA"/>
    <w:rsid w:val="003A4BC2"/>
    <w:rsid w:val="0040177B"/>
    <w:rsid w:val="004138A8"/>
    <w:rsid w:val="0041436B"/>
    <w:rsid w:val="004159FD"/>
    <w:rsid w:val="004404A0"/>
    <w:rsid w:val="00472BBB"/>
    <w:rsid w:val="004820CB"/>
    <w:rsid w:val="00490D2E"/>
    <w:rsid w:val="004E5CC4"/>
    <w:rsid w:val="004F3CE3"/>
    <w:rsid w:val="00557E68"/>
    <w:rsid w:val="005976BC"/>
    <w:rsid w:val="005B6C39"/>
    <w:rsid w:val="005B7CC8"/>
    <w:rsid w:val="006219AC"/>
    <w:rsid w:val="00647834"/>
    <w:rsid w:val="00655FB8"/>
    <w:rsid w:val="006A7A7A"/>
    <w:rsid w:val="006C2B89"/>
    <w:rsid w:val="006F12FC"/>
    <w:rsid w:val="00716392"/>
    <w:rsid w:val="00730EC9"/>
    <w:rsid w:val="00737F88"/>
    <w:rsid w:val="00742B8F"/>
    <w:rsid w:val="007469FC"/>
    <w:rsid w:val="00761278"/>
    <w:rsid w:val="007A3FA6"/>
    <w:rsid w:val="007B750A"/>
    <w:rsid w:val="007F6EAB"/>
    <w:rsid w:val="008120CC"/>
    <w:rsid w:val="00883C02"/>
    <w:rsid w:val="008A3EDB"/>
    <w:rsid w:val="008B2C22"/>
    <w:rsid w:val="008D2982"/>
    <w:rsid w:val="008D5D17"/>
    <w:rsid w:val="008D7AB0"/>
    <w:rsid w:val="009043DD"/>
    <w:rsid w:val="009150AF"/>
    <w:rsid w:val="009162CB"/>
    <w:rsid w:val="00922DA1"/>
    <w:rsid w:val="00972280"/>
    <w:rsid w:val="009C139C"/>
    <w:rsid w:val="00A6245F"/>
    <w:rsid w:val="00AC5827"/>
    <w:rsid w:val="00AE5DC8"/>
    <w:rsid w:val="00B26A5D"/>
    <w:rsid w:val="00B2798A"/>
    <w:rsid w:val="00B33B71"/>
    <w:rsid w:val="00B54D55"/>
    <w:rsid w:val="00BA2A3A"/>
    <w:rsid w:val="00BD0041"/>
    <w:rsid w:val="00BD2BD3"/>
    <w:rsid w:val="00BE41EE"/>
    <w:rsid w:val="00BF0149"/>
    <w:rsid w:val="00BF3A70"/>
    <w:rsid w:val="00C423C5"/>
    <w:rsid w:val="00C61CDB"/>
    <w:rsid w:val="00C97D14"/>
    <w:rsid w:val="00CA19D9"/>
    <w:rsid w:val="00CD7927"/>
    <w:rsid w:val="00D5251A"/>
    <w:rsid w:val="00D559FC"/>
    <w:rsid w:val="00D6774C"/>
    <w:rsid w:val="00D77674"/>
    <w:rsid w:val="00DF070D"/>
    <w:rsid w:val="00DF6AC3"/>
    <w:rsid w:val="00E34D4F"/>
    <w:rsid w:val="00E73A79"/>
    <w:rsid w:val="00E84007"/>
    <w:rsid w:val="00EA1D0A"/>
    <w:rsid w:val="00EB1505"/>
    <w:rsid w:val="00ED60F9"/>
    <w:rsid w:val="00F3550B"/>
    <w:rsid w:val="00F4331C"/>
    <w:rsid w:val="00F54F10"/>
    <w:rsid w:val="00F633EA"/>
    <w:rsid w:val="00F7303B"/>
    <w:rsid w:val="00F74A2B"/>
    <w:rsid w:val="00F80AE1"/>
    <w:rsid w:val="00FA17B9"/>
    <w:rsid w:val="00FD33CA"/>
    <w:rsid w:val="04D77D24"/>
    <w:rsid w:val="178B7C36"/>
    <w:rsid w:val="26460C13"/>
    <w:rsid w:val="3B232956"/>
    <w:rsid w:val="533F4235"/>
    <w:rsid w:val="595C5203"/>
    <w:rsid w:val="5E5D2B4C"/>
    <w:rsid w:val="70D57BE5"/>
    <w:rsid w:val="7BF71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185</Words>
  <Characters>1058</Characters>
  <Lines>8</Lines>
  <Paragraphs>2</Paragraphs>
  <TotalTime>3</TotalTime>
  <ScaleCrop>false</ScaleCrop>
  <LinksUpToDate>false</LinksUpToDate>
  <CharactersWithSpaces>1241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2021-01-28T02:18:00Z</dcterms:created>
  <dc:creator>庞武术</dc:creator>
  <cp:lastModifiedBy>Administrator</cp:lastModifiedBy>
  <dcterms:modified xsi:type="dcterms:W3CDTF">2021-02-20T07:07:46Z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