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3"/>
        <w:rPr>
          <w:rFonts w:ascii="inherit" w:hAnsi="inherit" w:eastAsia="宋体" w:cs="宋体"/>
          <w:b/>
          <w:bCs/>
          <w:kern w:val="0"/>
          <w:sz w:val="36"/>
          <w:szCs w:val="36"/>
        </w:rPr>
      </w:pPr>
      <w:r>
        <w:rPr>
          <w:rFonts w:ascii="inherit" w:hAnsi="inherit" w:eastAsia="宋体" w:cs="宋体"/>
          <w:b/>
          <w:bCs/>
          <w:kern w:val="0"/>
          <w:sz w:val="36"/>
          <w:szCs w:val="36"/>
        </w:rPr>
        <w:t>清远</w:t>
      </w:r>
      <w:r>
        <w:rPr>
          <w:rFonts w:hint="eastAsia" w:ascii="inherit" w:hAnsi="inherit" w:eastAsia="宋体" w:cs="宋体"/>
          <w:b/>
          <w:bCs/>
          <w:kern w:val="0"/>
          <w:sz w:val="36"/>
          <w:szCs w:val="36"/>
        </w:rPr>
        <w:t>民族</w:t>
      </w:r>
      <w:r>
        <w:rPr>
          <w:rFonts w:ascii="inherit" w:hAnsi="inherit" w:eastAsia="宋体" w:cs="宋体"/>
          <w:b/>
          <w:bCs/>
          <w:kern w:val="0"/>
          <w:sz w:val="36"/>
          <w:szCs w:val="36"/>
        </w:rPr>
        <w:t>工业园关于《</w:t>
      </w:r>
      <w:r>
        <w:rPr>
          <w:rFonts w:hint="eastAsia" w:ascii="inherit" w:hAnsi="inherit" w:eastAsia="宋体" w:cs="宋体"/>
          <w:b/>
          <w:bCs/>
          <w:kern w:val="0"/>
          <w:sz w:val="36"/>
          <w:szCs w:val="36"/>
        </w:rPr>
        <w:t>清远民族工业园气候可行性论证报告</w:t>
      </w:r>
      <w:r>
        <w:rPr>
          <w:rFonts w:ascii="inherit" w:hAnsi="inherit" w:eastAsia="宋体" w:cs="宋体"/>
          <w:b/>
          <w:bCs/>
          <w:kern w:val="0"/>
          <w:sz w:val="36"/>
          <w:szCs w:val="36"/>
        </w:rPr>
        <w:t>》的公告</w:t>
      </w:r>
    </w:p>
    <w:p>
      <w:pPr>
        <w:widowControl/>
        <w:rPr>
          <w:rFonts w:ascii="宋体" w:hAnsi="宋体" w:eastAsia="宋体" w:cs="宋体"/>
          <w:kern w:val="0"/>
          <w:sz w:val="24"/>
          <w:szCs w:val="24"/>
        </w:rPr>
      </w:pPr>
    </w:p>
    <w:p>
      <w:pPr>
        <w:spacing w:line="360" w:lineRule="auto"/>
        <w:jc w:val="left"/>
        <w:rPr>
          <w:rFonts w:ascii="Times New Roman" w:hAnsi="Times New Roman" w:eastAsia="黑体"/>
          <w:sz w:val="24"/>
          <w:szCs w:val="24"/>
        </w:rPr>
      </w:pPr>
      <w:r>
        <w:rPr>
          <w:rFonts w:hint="eastAsia" w:ascii="微软雅黑" w:hAnsi="微软雅黑" w:eastAsia="微软雅黑" w:cs="宋体"/>
          <w:color w:val="222222"/>
          <w:kern w:val="0"/>
          <w:sz w:val="24"/>
          <w:szCs w:val="24"/>
        </w:rPr>
        <w:t>　　根据清远市自然资源局、清远市发展和改革局《关于印发清远市全面推行区域评估的工作方案》的通知（清自然资发〔2019〕107号），我</w:t>
      </w:r>
      <w:r>
        <w:rPr>
          <w:rFonts w:hint="eastAsia" w:ascii="微软雅黑" w:hAnsi="微软雅黑" w:eastAsia="微软雅黑" w:cs="宋体"/>
          <w:color w:val="222222"/>
          <w:kern w:val="0"/>
          <w:sz w:val="24"/>
          <w:szCs w:val="24"/>
          <w:lang w:val="en-US" w:eastAsia="zh-CN"/>
        </w:rPr>
        <w:t>委委托第三方专业技术服务机构</w:t>
      </w:r>
      <w:r>
        <w:rPr>
          <w:rFonts w:hint="eastAsia" w:ascii="微软雅黑" w:hAnsi="微软雅黑" w:eastAsia="微软雅黑" w:cs="宋体"/>
          <w:color w:val="222222"/>
          <w:kern w:val="0"/>
          <w:sz w:val="24"/>
          <w:szCs w:val="24"/>
        </w:rPr>
        <w:t>对九陂工业园区、建滔产业园区、家具工业园区、新塘工业园区、新材料基地、星子火力电厂地块、星子灰坝地块进行气候可行性论证，</w:t>
      </w:r>
      <w:r>
        <w:rPr>
          <w:rFonts w:hint="eastAsia" w:ascii="微软雅黑" w:hAnsi="微软雅黑" w:eastAsia="微软雅黑" w:cs="宋体"/>
          <w:color w:val="222222"/>
          <w:kern w:val="0"/>
          <w:sz w:val="24"/>
          <w:szCs w:val="24"/>
          <w:lang w:val="en-US" w:eastAsia="zh-CN"/>
        </w:rPr>
        <w:t>论证报告通过专家评审，现将</w:t>
      </w:r>
      <w:r>
        <w:rPr>
          <w:rFonts w:hint="eastAsia" w:ascii="微软雅黑" w:hAnsi="微软雅黑" w:eastAsia="微软雅黑" w:cs="宋体"/>
          <w:color w:val="222222"/>
          <w:kern w:val="0"/>
          <w:sz w:val="24"/>
          <w:szCs w:val="24"/>
        </w:rPr>
        <w:t>《清远民族工业园气候可行性论证报告》</w:t>
      </w:r>
      <w:r>
        <w:rPr>
          <w:rFonts w:hint="eastAsia" w:ascii="微软雅黑" w:hAnsi="微软雅黑" w:eastAsia="微软雅黑" w:cs="宋体"/>
          <w:color w:val="222222"/>
          <w:kern w:val="0"/>
          <w:sz w:val="24"/>
          <w:szCs w:val="24"/>
          <w:lang w:val="en-US" w:eastAsia="zh-CN"/>
        </w:rPr>
        <w:t>予以</w:t>
      </w:r>
      <w:r>
        <w:rPr>
          <w:rFonts w:hint="eastAsia" w:ascii="微软雅黑" w:hAnsi="微软雅黑" w:eastAsia="微软雅黑" w:cs="宋体"/>
          <w:color w:val="222222"/>
          <w:kern w:val="0"/>
          <w:sz w:val="24"/>
          <w:szCs w:val="24"/>
        </w:rPr>
        <w:t>公告。</w:t>
      </w:r>
    </w:p>
    <w:p>
      <w:pPr>
        <w:widowControl/>
        <w:shd w:val="clear" w:color="auto" w:fill="FFFFFF"/>
        <w:spacing w:line="420" w:lineRule="atLeast"/>
        <w:jc w:val="left"/>
        <w:rPr>
          <w:rFonts w:hint="eastAsia" w:ascii="微软雅黑" w:hAnsi="微软雅黑" w:eastAsia="微软雅黑" w:cs="宋体"/>
          <w:color w:val="222222"/>
          <w:kern w:val="0"/>
          <w:sz w:val="24"/>
          <w:szCs w:val="24"/>
        </w:rPr>
      </w:pPr>
      <w:r>
        <w:rPr>
          <w:rFonts w:hint="eastAsia" w:ascii="微软雅黑" w:hAnsi="微软雅黑" w:eastAsia="微软雅黑" w:cs="宋体"/>
          <w:color w:val="222222"/>
          <w:kern w:val="0"/>
          <w:sz w:val="24"/>
          <w:szCs w:val="24"/>
        </w:rPr>
        <w:t>　　附件：清远民族工业园气候可行</w:t>
      </w:r>
      <w:bookmarkStart w:id="36" w:name="_GoBack"/>
      <w:bookmarkEnd w:id="36"/>
      <w:r>
        <w:rPr>
          <w:rFonts w:hint="eastAsia" w:ascii="微软雅黑" w:hAnsi="微软雅黑" w:eastAsia="微软雅黑" w:cs="宋体"/>
          <w:color w:val="222222"/>
          <w:kern w:val="0"/>
          <w:sz w:val="24"/>
          <w:szCs w:val="24"/>
        </w:rPr>
        <w:t>性论证报告（论证结论及建议）</w:t>
      </w:r>
    </w:p>
    <w:p>
      <w:pPr>
        <w:widowControl/>
        <w:shd w:val="clear" w:color="auto" w:fill="FFFFFF"/>
        <w:spacing w:line="420" w:lineRule="atLeast"/>
        <w:jc w:val="left"/>
        <w:rPr>
          <w:rFonts w:hint="eastAsia" w:ascii="微软雅黑" w:hAnsi="微软雅黑" w:eastAsia="微软雅黑" w:cs="宋体"/>
          <w:color w:val="222222"/>
          <w:kern w:val="0"/>
          <w:sz w:val="24"/>
          <w:szCs w:val="24"/>
        </w:rPr>
      </w:pPr>
    </w:p>
    <w:p>
      <w:pPr>
        <w:widowControl/>
        <w:shd w:val="clear" w:color="auto" w:fill="FFFFFF"/>
        <w:spacing w:line="420" w:lineRule="atLeast"/>
        <w:jc w:val="left"/>
        <w:rPr>
          <w:rFonts w:hint="eastAsia" w:ascii="微软雅黑" w:hAnsi="微软雅黑" w:eastAsia="微软雅黑" w:cs="宋体"/>
          <w:color w:val="222222"/>
          <w:kern w:val="0"/>
          <w:sz w:val="24"/>
          <w:szCs w:val="24"/>
        </w:rPr>
      </w:pPr>
    </w:p>
    <w:p>
      <w:pPr>
        <w:widowControl/>
        <w:shd w:val="clear" w:color="auto" w:fill="FFFFFF"/>
        <w:spacing w:line="420" w:lineRule="atLeast"/>
        <w:jc w:val="center"/>
        <w:rPr>
          <w:rFonts w:hint="eastAsia" w:ascii="微软雅黑" w:hAnsi="微软雅黑" w:eastAsia="微软雅黑" w:cs="宋体"/>
          <w:color w:val="222222"/>
          <w:kern w:val="0"/>
          <w:sz w:val="24"/>
          <w:szCs w:val="24"/>
        </w:rPr>
      </w:pPr>
      <w:r>
        <w:rPr>
          <w:rFonts w:hint="eastAsia" w:ascii="微软雅黑" w:hAnsi="微软雅黑" w:eastAsia="微软雅黑" w:cs="宋体"/>
          <w:color w:val="222222"/>
          <w:kern w:val="0"/>
          <w:sz w:val="24"/>
          <w:szCs w:val="24"/>
          <w:lang w:val="en-US" w:eastAsia="zh-CN"/>
        </w:rPr>
        <w:t xml:space="preserve">                                     </w:t>
      </w:r>
      <w:r>
        <w:rPr>
          <w:rFonts w:hint="eastAsia" w:ascii="微软雅黑" w:hAnsi="微软雅黑" w:eastAsia="微软雅黑" w:cs="宋体"/>
          <w:color w:val="222222"/>
          <w:kern w:val="0"/>
          <w:sz w:val="24"/>
          <w:szCs w:val="24"/>
        </w:rPr>
        <w:t>清远民族工业园管理委员会</w:t>
      </w:r>
    </w:p>
    <w:p>
      <w:pPr>
        <w:widowControl/>
        <w:shd w:val="clear" w:color="auto" w:fill="FFFFFF"/>
        <w:spacing w:line="420" w:lineRule="atLeast"/>
        <w:jc w:val="center"/>
        <w:rPr>
          <w:rFonts w:hint="eastAsia" w:ascii="微软雅黑" w:hAnsi="微软雅黑" w:eastAsia="微软雅黑" w:cs="宋体"/>
          <w:color w:val="222222"/>
          <w:kern w:val="0"/>
          <w:sz w:val="24"/>
          <w:szCs w:val="24"/>
        </w:rPr>
      </w:pPr>
      <w:r>
        <w:rPr>
          <w:rFonts w:hint="eastAsia" w:ascii="微软雅黑" w:hAnsi="微软雅黑" w:eastAsia="微软雅黑" w:cs="宋体"/>
          <w:color w:val="222222"/>
          <w:kern w:val="0"/>
          <w:sz w:val="24"/>
          <w:szCs w:val="24"/>
        </w:rPr>
        <w:t xml:space="preserve">                                 </w:t>
      </w:r>
      <w:r>
        <w:rPr>
          <w:rFonts w:hint="eastAsia" w:ascii="微软雅黑" w:hAnsi="微软雅黑" w:eastAsia="微软雅黑" w:cs="宋体"/>
          <w:color w:val="222222"/>
          <w:kern w:val="0"/>
          <w:sz w:val="24"/>
          <w:szCs w:val="24"/>
          <w:lang w:val="en-US" w:eastAsia="zh-CN"/>
        </w:rPr>
        <w:t xml:space="preserve">     </w:t>
      </w:r>
      <w:r>
        <w:rPr>
          <w:rFonts w:hint="eastAsia" w:ascii="微软雅黑" w:hAnsi="微软雅黑" w:eastAsia="微软雅黑" w:cs="宋体"/>
          <w:color w:val="222222"/>
          <w:kern w:val="0"/>
          <w:sz w:val="24"/>
          <w:szCs w:val="24"/>
        </w:rPr>
        <w:t xml:space="preserve"> 2021年</w:t>
      </w:r>
      <w:r>
        <w:rPr>
          <w:rFonts w:hint="eastAsia" w:ascii="微软雅黑" w:hAnsi="微软雅黑" w:eastAsia="微软雅黑" w:cs="宋体"/>
          <w:color w:val="222222"/>
          <w:kern w:val="0"/>
          <w:sz w:val="24"/>
          <w:szCs w:val="24"/>
          <w:lang w:val="en-US" w:eastAsia="zh-CN"/>
        </w:rPr>
        <w:t>5</w:t>
      </w:r>
      <w:r>
        <w:rPr>
          <w:rFonts w:hint="eastAsia" w:ascii="微软雅黑" w:hAnsi="微软雅黑" w:eastAsia="微软雅黑" w:cs="宋体"/>
          <w:color w:val="222222"/>
          <w:kern w:val="0"/>
          <w:sz w:val="24"/>
          <w:szCs w:val="24"/>
        </w:rPr>
        <w:t>月</w:t>
      </w:r>
      <w:r>
        <w:rPr>
          <w:rFonts w:hint="eastAsia" w:ascii="微软雅黑" w:hAnsi="微软雅黑" w:eastAsia="微软雅黑" w:cs="宋体"/>
          <w:color w:val="222222"/>
          <w:kern w:val="0"/>
          <w:sz w:val="24"/>
          <w:szCs w:val="24"/>
          <w:lang w:val="en-US" w:eastAsia="zh-CN"/>
        </w:rPr>
        <w:t>13</w:t>
      </w:r>
      <w:r>
        <w:rPr>
          <w:rFonts w:hint="eastAsia" w:ascii="微软雅黑" w:hAnsi="微软雅黑" w:eastAsia="微软雅黑" w:cs="宋体"/>
          <w:color w:val="222222"/>
          <w:kern w:val="0"/>
          <w:sz w:val="24"/>
          <w:szCs w:val="24"/>
        </w:rPr>
        <w:t>日</w:t>
      </w:r>
    </w:p>
    <w:p>
      <w:pPr>
        <w:widowControl/>
        <w:shd w:val="clear" w:color="auto" w:fill="FFFFFF"/>
        <w:spacing w:line="420" w:lineRule="atLeast"/>
        <w:jc w:val="left"/>
        <w:rPr>
          <w:rFonts w:hint="eastAsia" w:ascii="微软雅黑" w:hAnsi="微软雅黑" w:eastAsia="微软雅黑" w:cs="宋体"/>
          <w:color w:val="222222"/>
          <w:kern w:val="0"/>
          <w:sz w:val="24"/>
          <w:szCs w:val="24"/>
        </w:rPr>
      </w:pPr>
      <w:r>
        <w:rPr>
          <w:rFonts w:hint="eastAsia" w:ascii="微软雅黑" w:hAnsi="微软雅黑" w:eastAsia="微软雅黑" w:cs="宋体"/>
          <w:color w:val="222222"/>
          <w:kern w:val="0"/>
          <w:sz w:val="24"/>
          <w:szCs w:val="24"/>
        </w:rPr>
        <w:t>　　</w:t>
      </w:r>
    </w:p>
    <w:p>
      <w:pPr>
        <w:widowControl/>
        <w:shd w:val="clear" w:color="auto" w:fill="FFFFFF"/>
        <w:jc w:val="left"/>
        <w:rPr>
          <w:rFonts w:hint="eastAsia" w:ascii="微软雅黑" w:hAnsi="微软雅黑" w:eastAsia="微软雅黑" w:cs="宋体"/>
          <w:color w:val="222222"/>
          <w:kern w:val="0"/>
          <w:sz w:val="24"/>
          <w:szCs w:val="24"/>
        </w:rPr>
      </w:pPr>
    </w:p>
    <w:p>
      <w:pPr>
        <w:pStyle w:val="8"/>
        <w:spacing w:before="0" w:beforeAutospacing="0" w:after="0" w:afterAutospacing="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项目概述</w:t>
      </w:r>
      <w:bookmarkStart w:id="0" w:name="_Ref58225040"/>
      <w:bookmarkEnd w:id="0"/>
      <w:bookmarkStart w:id="1" w:name="_Toc69135720"/>
      <w:bookmarkEnd w:id="1"/>
      <w:bookmarkStart w:id="2" w:name="_Toc4072277"/>
      <w:bookmarkEnd w:id="2"/>
      <w:bookmarkStart w:id="3" w:name="_Toc69135719"/>
      <w:bookmarkEnd w:id="3"/>
      <w:bookmarkStart w:id="4" w:name="_Toc32473"/>
    </w:p>
    <w:p>
      <w:pPr>
        <w:pStyle w:val="8"/>
        <w:numPr>
          <w:ilvl w:val="0"/>
          <w:numId w:val="0"/>
        </w:numPr>
        <w:spacing w:before="0" w:beforeAutospacing="0" w:after="0" w:afterAutospacing="0"/>
        <w:jc w:val="both"/>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1.1项目背景</w:t>
      </w:r>
      <w:bookmarkEnd w:id="4"/>
    </w:p>
    <w:p>
      <w:pPr>
        <w:pStyle w:val="22"/>
        <w:spacing w:line="240" w:lineRule="auto"/>
        <w:ind w:right="260" w:firstLine="520"/>
        <w:jc w:val="both"/>
        <w:rPr>
          <w:rFonts w:hint="eastAsia" w:ascii="微软雅黑" w:hAnsi="微软雅黑" w:eastAsia="微软雅黑" w:cs="微软雅黑"/>
          <w:b w:val="0"/>
          <w:bCs w:val="0"/>
          <w:color w:val="222222"/>
          <w:kern w:val="0"/>
          <w:sz w:val="24"/>
          <w:szCs w:val="24"/>
        </w:rPr>
      </w:pPr>
      <w:r>
        <w:rPr>
          <w:rFonts w:hint="eastAsia" w:ascii="微软雅黑" w:hAnsi="微软雅黑" w:eastAsia="微软雅黑" w:cs="微软雅黑"/>
          <w:b w:val="0"/>
          <w:bCs w:val="0"/>
          <w:color w:val="222222"/>
          <w:kern w:val="0"/>
          <w:sz w:val="24"/>
          <w:szCs w:val="24"/>
        </w:rPr>
        <w:t>连州市是粤、湘、桂三省（区）结合部重要的交通枢纽，南距广州230公里。拥有交通物流快捷便利的区位优势，国道107、323线，省道G537、G234线以及许广、二广高速公路贯通全境。目前连接周边县市的七大出口均为高等级公路。连接京广线的连州——坪石铁路正在建设中，柳州——赣州的铁路将横贯连州，水路运输直达珠三角地区，是广清一体化的重要发展区。连州市的城市发展定位为粤西北的区域中心城市，其主导发展职能是：粤、湘、桂等地区物资集散中心；矿产品加工、能源、出口加工工业生产基地；旅游度假基地；“三连一阳”(连州、连山、连南和阳山）的经济文化中心。</w:t>
      </w:r>
    </w:p>
    <w:p>
      <w:pPr>
        <w:ind w:firstLine="480" w:firstLineChars="20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清远民族工业园主要规划发展范围位于连州市连州镇、保安镇、星子镇、九陂镇辖区范围，园区发展潜力大、空间广。</w:t>
      </w:r>
      <w:bookmarkStart w:id="5" w:name="_Toc69135721"/>
      <w:bookmarkEnd w:id="5"/>
      <w:bookmarkStart w:id="6" w:name="_Toc8548"/>
    </w:p>
    <w:p>
      <w:pP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1.2基本气候背景</w:t>
      </w:r>
      <w:bookmarkEnd w:id="6"/>
    </w:p>
    <w:p>
      <w:pPr>
        <w:ind w:firstLine="480" w:firstLineChars="20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连州市位于广东省西北山区，小北江的上游，属中亚热带季风气候。主要气候特征：春阴寡照、夏长冬短、冬冷少雨、雨热同季、干湿季明显。由于地形、地势和地貌比较复杂，具有“春暖迟、秋寒早”的山区立体气候特征。气象灾害种类较多，且出现频繁；在全球变暖背景下，极端天气气候事件呈增多趋势。连州年平均气温19.7℃，最冷月（1月）平均气温5.9℃，最热月（7月）平均气温34.0℃，历年极端最高气温41.6℃，出现在2003年的7月，历年极端最低气温-6.9℃，出现在1955年01月12日；年平均降雨量1624.2mm，最多月（5月）平均降雨量282.6mm，最少月（12月）平均降雨量47.5mm；年平均相对湿度78.6%，年平均风速1.3m/s，最多风向为N；年平均日照时数1509.3小时，年平均雷暴日70天；主要气象灾害有霜冻、暴雨、高温、干旱、雷雨大风和短时强降水等。</w:t>
      </w:r>
      <w:bookmarkStart w:id="7" w:name="_Toc69135722"/>
      <w:bookmarkEnd w:id="7"/>
      <w:bookmarkStart w:id="8" w:name="_Toc7033"/>
    </w:p>
    <w:p>
      <w:pP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1.3项目概况</w:t>
      </w:r>
      <w:bookmarkEnd w:id="8"/>
    </w:p>
    <w:p>
      <w:pPr>
        <w:ind w:firstLine="480" w:firstLineChars="20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广东连州市产业转移工业园前身清远民族工业园创办于2008年，是清远市委、市政府为了破解区域发展不平衡难题，整合连州市、连南瑶族自治县、连山壮族瑶族自治县和阳山县优势资源建立的一个利益共享的产业发展试验区，是当时我省唯一以民族命名的工业园区。</w:t>
      </w:r>
    </w:p>
    <w:p>
      <w:pPr>
        <w:ind w:firstLine="480" w:firstLineChars="20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2018年6月，经广东省人民政府同意，清远民族工业园正式纳入《中国开发区审核公告目录（2018年版）》，确认为省产业转移工业园区，广东连州市产业转移工业园区挂牌，园区正式升级为省级工业园。2019年12月获得省工信厅批复《广东省经济和信息化委等8部门关于推动各地依托产业园带动产业集聚发展的函（粤经信园区函[2014]1995号），建滔（连州）信息科技产业园、新塘工业园纳入享受省产业转移政策。</w:t>
      </w:r>
    </w:p>
    <w:p>
      <w:pPr>
        <w:ind w:firstLine="480" w:firstLineChars="20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sz w:val="24"/>
          <w:szCs w:val="24"/>
          <w:shd w:val="clear" w:color="auto" w:fill="FFFFFF"/>
        </w:rPr>
        <w:t>本次清远民族工业园气候可行性论证范围为</w:t>
      </w:r>
      <w:r>
        <w:rPr>
          <w:rFonts w:hint="eastAsia" w:ascii="微软雅黑" w:hAnsi="微软雅黑" w:eastAsia="微软雅黑" w:cs="微软雅黑"/>
          <w:color w:val="222222"/>
          <w:kern w:val="0"/>
          <w:sz w:val="24"/>
          <w:szCs w:val="24"/>
        </w:rPr>
        <w:t>园区7个分园区，分别是九陂工业园区、建滔产业园区、家具工业园区、新塘工业园区、新材料基地、星子火力电厂地块、星子灰坝地块。规划总面积92平方公里，控规面积23.6平方公里，目前开发面积8.3平方公里。</w:t>
      </w:r>
    </w:p>
    <w:p>
      <w:pPr>
        <w:rPr>
          <w:rFonts w:hint="eastAsia" w:ascii="微软雅黑" w:hAnsi="微软雅黑" w:eastAsia="微软雅黑" w:cs="微软雅黑"/>
          <w:color w:val="222222"/>
          <w:kern w:val="0"/>
          <w:sz w:val="24"/>
          <w:szCs w:val="24"/>
        </w:rPr>
      </w:pPr>
      <w:bookmarkStart w:id="9" w:name="_Toc5612"/>
      <w:r>
        <w:rPr>
          <w:rFonts w:hint="eastAsia" w:ascii="微软雅黑" w:hAnsi="微软雅黑" w:eastAsia="微软雅黑" w:cs="微软雅黑"/>
          <w:color w:val="222222"/>
          <w:kern w:val="0"/>
          <w:sz w:val="24"/>
          <w:szCs w:val="24"/>
        </w:rPr>
        <w:t>1.</w:t>
      </w:r>
      <w:r>
        <w:rPr>
          <w:rFonts w:hint="eastAsia" w:ascii="微软雅黑" w:hAnsi="微软雅黑" w:eastAsia="微软雅黑" w:cs="微软雅黑"/>
          <w:color w:val="222222"/>
          <w:kern w:val="0"/>
          <w:sz w:val="24"/>
          <w:szCs w:val="24"/>
          <w:lang w:val="en-US" w:eastAsia="zh-CN"/>
        </w:rPr>
        <w:t>3</w:t>
      </w:r>
      <w:r>
        <w:rPr>
          <w:rFonts w:hint="eastAsia" w:ascii="微软雅黑" w:hAnsi="微软雅黑" w:eastAsia="微软雅黑" w:cs="微软雅黑"/>
          <w:bCs/>
          <w:color w:val="222222"/>
          <w:kern w:val="0"/>
          <w:sz w:val="24"/>
          <w:szCs w:val="24"/>
        </w:rPr>
        <w:t>工作目标</w:t>
      </w:r>
      <w:bookmarkEnd w:id="9"/>
    </w:p>
    <w:p>
      <w:pPr>
        <w:ind w:firstLine="480" w:firstLineChars="20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（1）针对清远民族工业园规划建设，通过一体化的气象灾害风险评估与气候可行性论证项目的落实，为清远民族工业园科学规划、生态环境保护以及防灾减灾决策提供可靠的基础依据。</w:t>
      </w:r>
    </w:p>
    <w:p>
      <w:pPr>
        <w:ind w:firstLine="480" w:firstLineChars="20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（2）此次评估工作提交的成果：《清远民族工业园气候可行性论证报告》的文字报告。</w:t>
      </w:r>
      <w:bookmarkStart w:id="10" w:name="_Toc69135731"/>
      <w:bookmarkEnd w:id="10"/>
      <w:bookmarkStart w:id="11" w:name="_Toc8689"/>
    </w:p>
    <w:p>
      <w:pP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1.</w:t>
      </w:r>
      <w:r>
        <w:rPr>
          <w:rFonts w:hint="eastAsia" w:ascii="微软雅黑" w:hAnsi="微软雅黑" w:eastAsia="微软雅黑" w:cs="微软雅黑"/>
          <w:color w:val="222222"/>
          <w:kern w:val="0"/>
          <w:sz w:val="24"/>
          <w:szCs w:val="24"/>
          <w:lang w:val="en-US" w:eastAsia="zh-CN"/>
        </w:rPr>
        <w:t>4</w:t>
      </w:r>
      <w:r>
        <w:rPr>
          <w:rFonts w:hint="eastAsia" w:ascii="微软雅黑" w:hAnsi="微软雅黑" w:eastAsia="微软雅黑" w:cs="微软雅黑"/>
          <w:bCs/>
          <w:color w:val="222222"/>
          <w:kern w:val="0"/>
          <w:sz w:val="24"/>
          <w:szCs w:val="24"/>
        </w:rPr>
        <w:t>论证范围</w:t>
      </w:r>
      <w:bookmarkEnd w:id="11"/>
    </w:p>
    <w:p>
      <w:pPr>
        <w:ind w:firstLine="480" w:firstLineChars="20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按照合同约定内容，本次清远民族工业园气候可行性论证范围为新建和未建成的7个片区，共计23.60平方公里。</w:t>
      </w:r>
    </w:p>
    <w:p>
      <w:pPr>
        <w:pStyle w:val="17"/>
        <w:spacing w:line="240" w:lineRule="auto"/>
        <w:ind w:firstLine="420"/>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表1</w:t>
      </w:r>
      <w:r>
        <w:rPr>
          <w:rFonts w:hint="eastAsia" w:ascii="微软雅黑" w:hAnsi="微软雅黑" w:eastAsia="微软雅黑" w:cs="微软雅黑"/>
          <w:color w:val="222222"/>
          <w:kern w:val="0"/>
          <w:sz w:val="24"/>
          <w:szCs w:val="24"/>
        </w:rPr>
        <w:noBreakHyphen/>
      </w:r>
      <w:r>
        <w:rPr>
          <w:rFonts w:hint="eastAsia" w:ascii="微软雅黑" w:hAnsi="微软雅黑" w:eastAsia="微软雅黑" w:cs="微软雅黑"/>
          <w:color w:val="222222"/>
          <w:kern w:val="0"/>
          <w:sz w:val="24"/>
          <w:szCs w:val="24"/>
        </w:rPr>
        <w:t>1 清远民族工业园气候可行性论证范围</w:t>
      </w:r>
    </w:p>
    <w:tbl>
      <w:tblPr>
        <w:tblStyle w:val="1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2300"/>
        <w:gridCol w:w="2300"/>
        <w:gridCol w:w="1880"/>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06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清远民族工业园7个片区用地情况总览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序号</w:t>
            </w:r>
          </w:p>
        </w:tc>
        <w:tc>
          <w:tcPr>
            <w:tcW w:w="2300" w:type="dxa"/>
            <w:tcBorders>
              <w:top w:val="single" w:color="auto" w:sz="4" w:space="0"/>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园（片）区</w:t>
            </w:r>
          </w:p>
        </w:tc>
        <w:tc>
          <w:tcPr>
            <w:tcW w:w="2300" w:type="dxa"/>
            <w:tcBorders>
              <w:top w:val="single" w:color="auto" w:sz="4" w:space="0"/>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规划面积</w:t>
            </w:r>
          </w:p>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（平方公里）</w:t>
            </w:r>
          </w:p>
        </w:tc>
        <w:tc>
          <w:tcPr>
            <w:tcW w:w="1880" w:type="dxa"/>
            <w:tcBorders>
              <w:top w:val="single" w:color="auto" w:sz="4" w:space="0"/>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规划面积（亩）</w:t>
            </w:r>
          </w:p>
        </w:tc>
        <w:tc>
          <w:tcPr>
            <w:tcW w:w="1880" w:type="dxa"/>
            <w:tcBorders>
              <w:top w:val="single" w:color="auto" w:sz="4" w:space="0"/>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符合土规面积（亩）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0" w:type="dxa"/>
            <w:tcBorders>
              <w:top w:val="single" w:color="auto" w:sz="4" w:space="0"/>
              <w:left w:val="single" w:color="auto" w:sz="4" w:space="0"/>
              <w:bottom w:val="single" w:color="auto" w:sz="4" w:space="0"/>
              <w:right w:val="single" w:color="auto" w:sz="4" w:space="0"/>
            </w:tcBorders>
          </w:tcPr>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1</w:t>
            </w:r>
          </w:p>
        </w:tc>
        <w:tc>
          <w:tcPr>
            <w:tcW w:w="2300" w:type="dxa"/>
            <w:tcBorders>
              <w:top w:val="single" w:color="auto" w:sz="4" w:space="0"/>
              <w:left w:val="nil"/>
              <w:bottom w:val="single" w:color="auto" w:sz="4" w:space="0"/>
              <w:right w:val="single" w:color="auto" w:sz="4" w:space="0"/>
            </w:tcBorders>
            <w:noWrap/>
          </w:tcPr>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九陂工业园区</w:t>
            </w:r>
          </w:p>
        </w:tc>
        <w:tc>
          <w:tcPr>
            <w:tcW w:w="2300" w:type="dxa"/>
            <w:tcBorders>
              <w:top w:val="single" w:color="auto" w:sz="4" w:space="0"/>
              <w:left w:val="nil"/>
              <w:bottom w:val="single" w:color="auto" w:sz="4" w:space="0"/>
              <w:right w:val="single" w:color="auto" w:sz="4" w:space="0"/>
            </w:tcBorders>
            <w:noWrap/>
          </w:tcPr>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10.95</w:t>
            </w:r>
          </w:p>
        </w:tc>
        <w:tc>
          <w:tcPr>
            <w:tcW w:w="1880" w:type="dxa"/>
            <w:tcBorders>
              <w:top w:val="single" w:color="auto" w:sz="4" w:space="0"/>
              <w:left w:val="nil"/>
              <w:bottom w:val="single" w:color="auto" w:sz="4" w:space="0"/>
              <w:right w:val="single" w:color="auto" w:sz="4" w:space="0"/>
            </w:tcBorders>
          </w:tcPr>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16427.15</w:t>
            </w:r>
          </w:p>
        </w:tc>
        <w:tc>
          <w:tcPr>
            <w:tcW w:w="1880" w:type="dxa"/>
            <w:tcBorders>
              <w:top w:val="single" w:color="auto" w:sz="4" w:space="0"/>
              <w:left w:val="nil"/>
              <w:bottom w:val="single" w:color="auto" w:sz="4" w:space="0"/>
              <w:right w:val="single" w:color="auto" w:sz="4" w:space="0"/>
            </w:tcBorders>
          </w:tcPr>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8794.69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0" w:type="dxa"/>
            <w:tcBorders>
              <w:top w:val="single" w:color="auto" w:sz="4" w:space="0"/>
              <w:left w:val="single" w:color="auto" w:sz="4" w:space="0"/>
              <w:bottom w:val="single" w:color="auto" w:sz="4" w:space="0"/>
              <w:right w:val="single" w:color="auto" w:sz="4" w:space="0"/>
            </w:tcBorders>
          </w:tcPr>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2</w:t>
            </w:r>
          </w:p>
        </w:tc>
        <w:tc>
          <w:tcPr>
            <w:tcW w:w="2300" w:type="dxa"/>
            <w:tcBorders>
              <w:top w:val="single" w:color="auto" w:sz="4" w:space="0"/>
              <w:left w:val="nil"/>
              <w:bottom w:val="single" w:color="auto" w:sz="4" w:space="0"/>
              <w:right w:val="single" w:color="auto" w:sz="4" w:space="0"/>
            </w:tcBorders>
            <w:noWrap/>
          </w:tcPr>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新塘工业园区</w:t>
            </w:r>
          </w:p>
        </w:tc>
        <w:tc>
          <w:tcPr>
            <w:tcW w:w="2300" w:type="dxa"/>
            <w:tcBorders>
              <w:top w:val="single" w:color="auto" w:sz="4" w:space="0"/>
              <w:left w:val="nil"/>
              <w:bottom w:val="single" w:color="auto" w:sz="4" w:space="0"/>
              <w:right w:val="single" w:color="auto" w:sz="4" w:space="0"/>
            </w:tcBorders>
            <w:noWrap/>
          </w:tcPr>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5.75</w:t>
            </w:r>
          </w:p>
        </w:tc>
        <w:tc>
          <w:tcPr>
            <w:tcW w:w="1880" w:type="dxa"/>
            <w:tcBorders>
              <w:top w:val="single" w:color="auto" w:sz="4" w:space="0"/>
              <w:left w:val="nil"/>
              <w:bottom w:val="single" w:color="auto" w:sz="4" w:space="0"/>
              <w:right w:val="single" w:color="auto" w:sz="4" w:space="0"/>
            </w:tcBorders>
          </w:tcPr>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8626.86</w:t>
            </w:r>
          </w:p>
        </w:tc>
        <w:tc>
          <w:tcPr>
            <w:tcW w:w="1880" w:type="dxa"/>
            <w:tcBorders>
              <w:top w:val="single" w:color="auto" w:sz="4" w:space="0"/>
              <w:left w:val="nil"/>
              <w:bottom w:val="single" w:color="auto" w:sz="4" w:space="0"/>
              <w:right w:val="single" w:color="auto" w:sz="4" w:space="0"/>
            </w:tcBorders>
          </w:tcPr>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3654.98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0" w:type="dxa"/>
            <w:tcBorders>
              <w:top w:val="single" w:color="auto" w:sz="4" w:space="0"/>
              <w:left w:val="single" w:color="auto" w:sz="4" w:space="0"/>
              <w:bottom w:val="single" w:color="auto" w:sz="4" w:space="0"/>
              <w:right w:val="single" w:color="auto" w:sz="4" w:space="0"/>
            </w:tcBorders>
          </w:tcPr>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3</w:t>
            </w:r>
          </w:p>
        </w:tc>
        <w:tc>
          <w:tcPr>
            <w:tcW w:w="2300" w:type="dxa"/>
            <w:tcBorders>
              <w:top w:val="single" w:color="auto" w:sz="4" w:space="0"/>
              <w:left w:val="nil"/>
              <w:bottom w:val="single" w:color="auto" w:sz="4" w:space="0"/>
              <w:right w:val="single" w:color="auto" w:sz="4" w:space="0"/>
            </w:tcBorders>
            <w:noWrap/>
          </w:tcPr>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建滔产业园区</w:t>
            </w:r>
          </w:p>
        </w:tc>
        <w:tc>
          <w:tcPr>
            <w:tcW w:w="2300" w:type="dxa"/>
            <w:tcBorders>
              <w:top w:val="single" w:color="auto" w:sz="4" w:space="0"/>
              <w:left w:val="nil"/>
              <w:bottom w:val="single" w:color="auto" w:sz="4" w:space="0"/>
              <w:right w:val="single" w:color="auto" w:sz="4" w:space="0"/>
            </w:tcBorders>
            <w:noWrap/>
          </w:tcPr>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1.95</w:t>
            </w:r>
          </w:p>
        </w:tc>
        <w:tc>
          <w:tcPr>
            <w:tcW w:w="1880" w:type="dxa"/>
            <w:tcBorders>
              <w:top w:val="single" w:color="auto" w:sz="4" w:space="0"/>
              <w:left w:val="nil"/>
              <w:bottom w:val="single" w:color="auto" w:sz="4" w:space="0"/>
              <w:right w:val="single" w:color="auto" w:sz="4" w:space="0"/>
            </w:tcBorders>
          </w:tcPr>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2922.45</w:t>
            </w:r>
          </w:p>
        </w:tc>
        <w:tc>
          <w:tcPr>
            <w:tcW w:w="1880" w:type="dxa"/>
            <w:tcBorders>
              <w:top w:val="single" w:color="auto" w:sz="4" w:space="0"/>
              <w:left w:val="nil"/>
              <w:bottom w:val="single" w:color="auto" w:sz="4" w:space="0"/>
              <w:right w:val="single" w:color="auto" w:sz="4" w:space="0"/>
            </w:tcBorders>
          </w:tcPr>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1970.27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0" w:type="dxa"/>
            <w:tcBorders>
              <w:top w:val="single" w:color="auto" w:sz="4" w:space="0"/>
              <w:left w:val="single" w:color="auto" w:sz="4" w:space="0"/>
              <w:bottom w:val="single" w:color="auto" w:sz="4" w:space="0"/>
              <w:right w:val="single" w:color="auto" w:sz="4" w:space="0"/>
            </w:tcBorders>
          </w:tcPr>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4</w:t>
            </w:r>
          </w:p>
        </w:tc>
        <w:tc>
          <w:tcPr>
            <w:tcW w:w="2300" w:type="dxa"/>
            <w:tcBorders>
              <w:top w:val="single" w:color="auto" w:sz="4" w:space="0"/>
              <w:left w:val="nil"/>
              <w:bottom w:val="single" w:color="auto" w:sz="4" w:space="0"/>
              <w:right w:val="single" w:color="auto" w:sz="4" w:space="0"/>
            </w:tcBorders>
            <w:noWrap/>
          </w:tcPr>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家具工业园区</w:t>
            </w:r>
          </w:p>
        </w:tc>
        <w:tc>
          <w:tcPr>
            <w:tcW w:w="2300" w:type="dxa"/>
            <w:tcBorders>
              <w:top w:val="single" w:color="auto" w:sz="4" w:space="0"/>
              <w:left w:val="nil"/>
              <w:bottom w:val="single" w:color="auto" w:sz="4" w:space="0"/>
              <w:right w:val="single" w:color="auto" w:sz="4" w:space="0"/>
            </w:tcBorders>
            <w:noWrap/>
          </w:tcPr>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1.83</w:t>
            </w:r>
          </w:p>
        </w:tc>
        <w:tc>
          <w:tcPr>
            <w:tcW w:w="1880" w:type="dxa"/>
            <w:tcBorders>
              <w:top w:val="single" w:color="auto" w:sz="4" w:space="0"/>
              <w:left w:val="nil"/>
              <w:bottom w:val="single" w:color="auto" w:sz="4" w:space="0"/>
              <w:right w:val="single" w:color="auto" w:sz="4" w:space="0"/>
            </w:tcBorders>
          </w:tcPr>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2741.39</w:t>
            </w:r>
          </w:p>
        </w:tc>
        <w:tc>
          <w:tcPr>
            <w:tcW w:w="1880" w:type="dxa"/>
            <w:tcBorders>
              <w:top w:val="single" w:color="auto" w:sz="4" w:space="0"/>
              <w:left w:val="nil"/>
              <w:bottom w:val="single" w:color="auto" w:sz="4" w:space="0"/>
              <w:right w:val="single" w:color="auto" w:sz="4" w:space="0"/>
            </w:tcBorders>
          </w:tcPr>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2345.1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0" w:type="dxa"/>
            <w:tcBorders>
              <w:top w:val="single" w:color="auto" w:sz="4" w:space="0"/>
              <w:left w:val="single" w:color="auto" w:sz="4" w:space="0"/>
              <w:bottom w:val="single" w:color="auto" w:sz="4" w:space="0"/>
              <w:right w:val="single" w:color="auto" w:sz="4" w:space="0"/>
            </w:tcBorders>
          </w:tcPr>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5</w:t>
            </w:r>
          </w:p>
        </w:tc>
        <w:tc>
          <w:tcPr>
            <w:tcW w:w="2300" w:type="dxa"/>
            <w:tcBorders>
              <w:top w:val="single" w:color="auto" w:sz="4" w:space="0"/>
              <w:left w:val="nil"/>
              <w:bottom w:val="single" w:color="auto" w:sz="4" w:space="0"/>
              <w:right w:val="single" w:color="auto" w:sz="4" w:space="0"/>
            </w:tcBorders>
            <w:noWrap/>
          </w:tcPr>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新材料基地</w:t>
            </w:r>
          </w:p>
        </w:tc>
        <w:tc>
          <w:tcPr>
            <w:tcW w:w="2300" w:type="dxa"/>
            <w:tcBorders>
              <w:top w:val="single" w:color="auto" w:sz="4" w:space="0"/>
              <w:left w:val="nil"/>
              <w:bottom w:val="single" w:color="auto" w:sz="4" w:space="0"/>
              <w:right w:val="single" w:color="auto" w:sz="4" w:space="0"/>
            </w:tcBorders>
            <w:noWrap/>
          </w:tcPr>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2.13</w:t>
            </w:r>
          </w:p>
        </w:tc>
        <w:tc>
          <w:tcPr>
            <w:tcW w:w="1880" w:type="dxa"/>
            <w:tcBorders>
              <w:top w:val="single" w:color="auto" w:sz="4" w:space="0"/>
              <w:left w:val="nil"/>
              <w:bottom w:val="single" w:color="auto" w:sz="4" w:space="0"/>
              <w:right w:val="single" w:color="auto" w:sz="4" w:space="0"/>
            </w:tcBorders>
          </w:tcPr>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3190.86</w:t>
            </w:r>
          </w:p>
        </w:tc>
        <w:tc>
          <w:tcPr>
            <w:tcW w:w="1880" w:type="dxa"/>
            <w:tcBorders>
              <w:top w:val="single" w:color="auto" w:sz="4" w:space="0"/>
              <w:left w:val="nil"/>
              <w:bottom w:val="single" w:color="auto" w:sz="4" w:space="0"/>
              <w:right w:val="single" w:color="auto" w:sz="4" w:space="0"/>
            </w:tcBorders>
          </w:tcPr>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1281.47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0" w:type="dxa"/>
            <w:tcBorders>
              <w:top w:val="single" w:color="auto" w:sz="4" w:space="0"/>
              <w:left w:val="single" w:color="auto" w:sz="4" w:space="0"/>
              <w:bottom w:val="single" w:color="auto" w:sz="4" w:space="0"/>
              <w:right w:val="single" w:color="auto" w:sz="4" w:space="0"/>
            </w:tcBorders>
          </w:tcPr>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6</w:t>
            </w:r>
          </w:p>
        </w:tc>
        <w:tc>
          <w:tcPr>
            <w:tcW w:w="2300" w:type="dxa"/>
            <w:tcBorders>
              <w:top w:val="single" w:color="auto" w:sz="4" w:space="0"/>
              <w:left w:val="nil"/>
              <w:bottom w:val="single" w:color="auto" w:sz="4" w:space="0"/>
              <w:right w:val="single" w:color="auto" w:sz="4" w:space="0"/>
            </w:tcBorders>
            <w:noWrap/>
          </w:tcPr>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星子火力电厂地块</w:t>
            </w:r>
          </w:p>
        </w:tc>
        <w:tc>
          <w:tcPr>
            <w:tcW w:w="2300" w:type="dxa"/>
            <w:tcBorders>
              <w:top w:val="single" w:color="auto" w:sz="4" w:space="0"/>
              <w:left w:val="nil"/>
              <w:bottom w:val="single" w:color="auto" w:sz="4" w:space="0"/>
              <w:right w:val="single" w:color="auto" w:sz="4" w:space="0"/>
            </w:tcBorders>
            <w:noWrap/>
          </w:tcPr>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0.59</w:t>
            </w:r>
          </w:p>
        </w:tc>
        <w:tc>
          <w:tcPr>
            <w:tcW w:w="1880" w:type="dxa"/>
            <w:tcBorders>
              <w:top w:val="single" w:color="auto" w:sz="4" w:space="0"/>
              <w:left w:val="nil"/>
              <w:bottom w:val="single" w:color="auto" w:sz="4" w:space="0"/>
              <w:right w:val="single" w:color="auto" w:sz="4" w:space="0"/>
            </w:tcBorders>
          </w:tcPr>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890</w:t>
            </w:r>
          </w:p>
        </w:tc>
        <w:tc>
          <w:tcPr>
            <w:tcW w:w="1880" w:type="dxa"/>
            <w:tcBorders>
              <w:top w:val="single" w:color="auto" w:sz="4" w:space="0"/>
              <w:left w:val="nil"/>
              <w:bottom w:val="single" w:color="auto" w:sz="4" w:space="0"/>
              <w:right w:val="single" w:color="auto" w:sz="4" w:space="0"/>
            </w:tcBorders>
          </w:tcPr>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697.73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0" w:type="dxa"/>
            <w:tcBorders>
              <w:top w:val="single" w:color="auto" w:sz="4" w:space="0"/>
              <w:left w:val="single" w:color="auto" w:sz="4" w:space="0"/>
              <w:bottom w:val="single" w:color="auto" w:sz="4" w:space="0"/>
              <w:right w:val="single" w:color="auto" w:sz="4" w:space="0"/>
            </w:tcBorders>
          </w:tcPr>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7</w:t>
            </w:r>
          </w:p>
        </w:tc>
        <w:tc>
          <w:tcPr>
            <w:tcW w:w="2300" w:type="dxa"/>
            <w:tcBorders>
              <w:top w:val="single" w:color="auto" w:sz="4" w:space="0"/>
              <w:left w:val="nil"/>
              <w:bottom w:val="single" w:color="auto" w:sz="4" w:space="0"/>
              <w:right w:val="single" w:color="auto" w:sz="4" w:space="0"/>
            </w:tcBorders>
            <w:noWrap/>
          </w:tcPr>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星子灰坝地块</w:t>
            </w:r>
          </w:p>
        </w:tc>
        <w:tc>
          <w:tcPr>
            <w:tcW w:w="2300" w:type="dxa"/>
            <w:tcBorders>
              <w:top w:val="single" w:color="auto" w:sz="4" w:space="0"/>
              <w:left w:val="nil"/>
              <w:bottom w:val="single" w:color="auto" w:sz="4" w:space="0"/>
              <w:right w:val="single" w:color="auto" w:sz="4" w:space="0"/>
            </w:tcBorders>
            <w:noWrap/>
          </w:tcPr>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0.40</w:t>
            </w:r>
          </w:p>
        </w:tc>
        <w:tc>
          <w:tcPr>
            <w:tcW w:w="1880" w:type="dxa"/>
            <w:tcBorders>
              <w:top w:val="single" w:color="auto" w:sz="4" w:space="0"/>
              <w:left w:val="nil"/>
              <w:bottom w:val="single" w:color="auto" w:sz="4" w:space="0"/>
              <w:right w:val="single" w:color="auto" w:sz="4" w:space="0"/>
            </w:tcBorders>
          </w:tcPr>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600</w:t>
            </w:r>
          </w:p>
        </w:tc>
        <w:tc>
          <w:tcPr>
            <w:tcW w:w="1880" w:type="dxa"/>
            <w:tcBorders>
              <w:top w:val="single" w:color="auto" w:sz="4" w:space="0"/>
              <w:left w:val="nil"/>
              <w:bottom w:val="single" w:color="auto" w:sz="4" w:space="0"/>
              <w:right w:val="single" w:color="auto" w:sz="4" w:space="0"/>
            </w:tcBorders>
          </w:tcPr>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0" w:type="dxa"/>
            <w:tcBorders>
              <w:top w:val="single" w:color="auto" w:sz="4" w:space="0"/>
              <w:left w:val="single" w:color="auto" w:sz="4" w:space="0"/>
              <w:bottom w:val="single" w:color="auto" w:sz="4" w:space="0"/>
              <w:right w:val="single" w:color="auto" w:sz="4" w:space="0"/>
            </w:tcBorders>
          </w:tcPr>
          <w:p>
            <w:pPr>
              <w:widowControl/>
              <w:jc w:val="center"/>
              <w:rPr>
                <w:rFonts w:hint="eastAsia" w:ascii="微软雅黑" w:hAnsi="微软雅黑" w:eastAsia="微软雅黑" w:cs="微软雅黑"/>
                <w:color w:val="222222"/>
                <w:kern w:val="0"/>
                <w:sz w:val="24"/>
                <w:szCs w:val="24"/>
              </w:rPr>
            </w:pPr>
          </w:p>
        </w:tc>
        <w:tc>
          <w:tcPr>
            <w:tcW w:w="2300" w:type="dxa"/>
            <w:tcBorders>
              <w:top w:val="single" w:color="auto" w:sz="4" w:space="0"/>
              <w:left w:val="nil"/>
              <w:bottom w:val="single" w:color="auto" w:sz="4" w:space="0"/>
              <w:right w:val="single" w:color="auto" w:sz="4" w:space="0"/>
            </w:tcBorders>
          </w:tcPr>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合计</w:t>
            </w:r>
          </w:p>
        </w:tc>
        <w:tc>
          <w:tcPr>
            <w:tcW w:w="2300" w:type="dxa"/>
            <w:tcBorders>
              <w:top w:val="single" w:color="auto" w:sz="4" w:space="0"/>
              <w:left w:val="nil"/>
              <w:bottom w:val="single" w:color="auto" w:sz="4" w:space="0"/>
              <w:right w:val="single" w:color="auto" w:sz="4" w:space="0"/>
            </w:tcBorders>
          </w:tcPr>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23.60</w:t>
            </w:r>
          </w:p>
        </w:tc>
        <w:tc>
          <w:tcPr>
            <w:tcW w:w="1880" w:type="dxa"/>
            <w:tcBorders>
              <w:top w:val="single" w:color="auto" w:sz="4" w:space="0"/>
              <w:left w:val="nil"/>
              <w:bottom w:val="single" w:color="auto" w:sz="4" w:space="0"/>
              <w:right w:val="single" w:color="auto" w:sz="4" w:space="0"/>
            </w:tcBorders>
          </w:tcPr>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35398.71</w:t>
            </w:r>
          </w:p>
        </w:tc>
        <w:tc>
          <w:tcPr>
            <w:tcW w:w="1880" w:type="dxa"/>
            <w:tcBorders>
              <w:top w:val="single" w:color="auto" w:sz="4" w:space="0"/>
              <w:left w:val="nil"/>
              <w:bottom w:val="single" w:color="auto" w:sz="4" w:space="0"/>
              <w:right w:val="single" w:color="auto" w:sz="4" w:space="0"/>
            </w:tcBorders>
          </w:tcPr>
          <w:p>
            <w:pPr>
              <w:widowControl/>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18744.24</w:t>
            </w:r>
          </w:p>
        </w:tc>
      </w:tr>
    </w:tbl>
    <w:p>
      <w:pPr>
        <w:rPr>
          <w:rFonts w:hint="eastAsia" w:ascii="微软雅黑" w:hAnsi="微软雅黑" w:eastAsia="微软雅黑" w:cs="微软雅黑"/>
          <w:bCs/>
          <w:color w:val="222222"/>
          <w:kern w:val="0"/>
          <w:sz w:val="24"/>
          <w:szCs w:val="24"/>
        </w:rPr>
      </w:pPr>
      <w:bookmarkStart w:id="12" w:name="_Toc69135732"/>
      <w:bookmarkEnd w:id="12"/>
      <w:bookmarkStart w:id="13" w:name="_Toc20003"/>
      <w:bookmarkEnd w:id="13"/>
      <w:bookmarkStart w:id="14" w:name="_Toc18649"/>
      <w:r>
        <w:rPr>
          <w:rFonts w:hint="eastAsia" w:ascii="微软雅黑" w:hAnsi="微软雅黑" w:eastAsia="微软雅黑" w:cs="微软雅黑"/>
          <w:color w:val="222222"/>
          <w:kern w:val="0"/>
          <w:sz w:val="24"/>
          <w:szCs w:val="24"/>
        </w:rPr>
        <w:t>1.</w:t>
      </w:r>
      <w:r>
        <w:rPr>
          <w:rFonts w:hint="eastAsia" w:ascii="微软雅黑" w:hAnsi="微软雅黑" w:eastAsia="微软雅黑" w:cs="微软雅黑"/>
          <w:color w:val="222222"/>
          <w:kern w:val="0"/>
          <w:sz w:val="24"/>
          <w:szCs w:val="24"/>
          <w:lang w:val="en-US" w:eastAsia="zh-CN"/>
        </w:rPr>
        <w:t>5</w:t>
      </w:r>
      <w:r>
        <w:rPr>
          <w:rFonts w:hint="eastAsia" w:ascii="微软雅黑" w:hAnsi="微软雅黑" w:eastAsia="微软雅黑" w:cs="微软雅黑"/>
          <w:bCs/>
          <w:color w:val="222222"/>
          <w:kern w:val="0"/>
          <w:sz w:val="24"/>
          <w:szCs w:val="24"/>
        </w:rPr>
        <w:t>评估依据和参考资料</w:t>
      </w:r>
      <w:bookmarkEnd w:id="14"/>
      <w:bookmarkStart w:id="15" w:name="_Toc6616_WPSOffice_Level3"/>
      <w:bookmarkEnd w:id="15"/>
      <w:bookmarkStart w:id="16" w:name="_Toc467023798"/>
      <w:bookmarkEnd w:id="16"/>
      <w:bookmarkStart w:id="17" w:name="_Toc515441792"/>
      <w:bookmarkEnd w:id="17"/>
      <w:bookmarkStart w:id="18" w:name="_Toc4072283"/>
      <w:bookmarkEnd w:id="18"/>
      <w:bookmarkStart w:id="19" w:name="_Toc16168800"/>
      <w:bookmarkEnd w:id="19"/>
      <w:bookmarkStart w:id="20" w:name="_Toc28459"/>
      <w:bookmarkEnd w:id="20"/>
      <w:bookmarkStart w:id="21" w:name="_Toc69135738"/>
      <w:bookmarkEnd w:id="21"/>
      <w:bookmarkStart w:id="22" w:name="_Toc477175829"/>
      <w:bookmarkEnd w:id="22"/>
      <w:bookmarkStart w:id="23" w:name="_Toc11984"/>
    </w:p>
    <w:p>
      <w:pPr>
        <w:rPr>
          <w:rFonts w:hint="eastAsia" w:ascii="微软雅黑" w:hAnsi="微软雅黑" w:eastAsia="微软雅黑" w:cs="微软雅黑"/>
          <w:color w:val="222222"/>
          <w:kern w:val="0"/>
          <w:sz w:val="24"/>
          <w:szCs w:val="24"/>
        </w:rPr>
      </w:pPr>
      <w:r>
        <w:rPr>
          <w:rFonts w:hint="eastAsia" w:ascii="微软雅黑" w:hAnsi="微软雅黑" w:eastAsia="微软雅黑" w:cs="微软雅黑"/>
          <w:bCs/>
          <w:color w:val="222222"/>
          <w:kern w:val="0"/>
          <w:sz w:val="24"/>
          <w:szCs w:val="24"/>
        </w:rPr>
        <w:t>1.</w:t>
      </w:r>
      <w:r>
        <w:rPr>
          <w:rFonts w:hint="eastAsia" w:ascii="微软雅黑" w:hAnsi="微软雅黑" w:eastAsia="微软雅黑" w:cs="微软雅黑"/>
          <w:bCs/>
          <w:color w:val="222222"/>
          <w:kern w:val="0"/>
          <w:sz w:val="24"/>
          <w:szCs w:val="24"/>
          <w:lang w:val="en-US" w:eastAsia="zh-CN"/>
        </w:rPr>
        <w:t>5</w:t>
      </w:r>
      <w:r>
        <w:rPr>
          <w:rFonts w:hint="eastAsia" w:ascii="微软雅黑" w:hAnsi="微软雅黑" w:eastAsia="微软雅黑" w:cs="微软雅黑"/>
          <w:bCs/>
          <w:color w:val="222222"/>
          <w:kern w:val="0"/>
          <w:sz w:val="24"/>
          <w:szCs w:val="24"/>
        </w:rPr>
        <w:t>.1法律法规、部门规章、规划</w:t>
      </w:r>
      <w:bookmarkEnd w:id="23"/>
    </w:p>
    <w:p>
      <w:pPr>
        <w:pStyle w:val="20"/>
        <w:numPr>
          <w:ilvl w:val="0"/>
          <w:numId w:val="2"/>
        </w:numPr>
        <w:spacing w:beforeLines="0" w:afterLines="0" w:line="240" w:lineRule="auto"/>
        <w:ind w:left="0" w:firstLine="0" w:firstLineChars="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《中华人民共和国气象法》</w:t>
      </w:r>
    </w:p>
    <w:p>
      <w:pPr>
        <w:pStyle w:val="20"/>
        <w:numPr>
          <w:ilvl w:val="0"/>
          <w:numId w:val="2"/>
        </w:numPr>
        <w:spacing w:beforeLines="0" w:afterLines="0" w:line="240" w:lineRule="auto"/>
        <w:ind w:left="0" w:firstLine="0" w:firstLineChars="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《气象灾害防御条例》</w:t>
      </w:r>
    </w:p>
    <w:p>
      <w:pPr>
        <w:pStyle w:val="20"/>
        <w:numPr>
          <w:ilvl w:val="0"/>
          <w:numId w:val="2"/>
        </w:numPr>
        <w:spacing w:beforeLines="0" w:afterLines="0" w:line="240" w:lineRule="auto"/>
        <w:ind w:left="0" w:firstLine="0" w:firstLineChars="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《国家综合防灾减灾规划（2011－2015）》</w:t>
      </w:r>
    </w:p>
    <w:p>
      <w:pPr>
        <w:pStyle w:val="20"/>
        <w:numPr>
          <w:ilvl w:val="0"/>
          <w:numId w:val="2"/>
        </w:numPr>
        <w:spacing w:beforeLines="0" w:afterLines="0" w:line="240" w:lineRule="auto"/>
        <w:ind w:left="0" w:firstLine="0" w:firstLineChars="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《国家气象灾害应急预案》</w:t>
      </w:r>
    </w:p>
    <w:p>
      <w:pPr>
        <w:pStyle w:val="20"/>
        <w:numPr>
          <w:ilvl w:val="0"/>
          <w:numId w:val="2"/>
        </w:numPr>
        <w:spacing w:beforeLines="0" w:afterLines="0" w:line="240" w:lineRule="auto"/>
        <w:ind w:left="0" w:firstLine="0" w:firstLineChars="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《国务院办公厅关于进一步加强气象灾害防御工作的意见》（国办发〔2007〕49号）</w:t>
      </w:r>
    </w:p>
    <w:p>
      <w:pPr>
        <w:pStyle w:val="20"/>
        <w:numPr>
          <w:ilvl w:val="0"/>
          <w:numId w:val="2"/>
        </w:numPr>
        <w:spacing w:beforeLines="0" w:afterLines="0" w:line="240" w:lineRule="auto"/>
        <w:ind w:left="0" w:firstLine="0" w:firstLineChars="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《国务院办公厅关于加强气象灾害监测预警及信息发布工作的意见》（国办发〔2011〕33号）</w:t>
      </w:r>
    </w:p>
    <w:p>
      <w:pPr>
        <w:pStyle w:val="20"/>
        <w:numPr>
          <w:ilvl w:val="0"/>
          <w:numId w:val="2"/>
        </w:numPr>
        <w:spacing w:beforeLines="0" w:afterLines="0" w:line="240" w:lineRule="auto"/>
        <w:ind w:left="0" w:firstLine="0" w:firstLineChars="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《综合气象观测系统发展规划（2010－2015年）》（气发〔2009〕463号）</w:t>
      </w:r>
    </w:p>
    <w:p>
      <w:pPr>
        <w:pStyle w:val="20"/>
        <w:numPr>
          <w:ilvl w:val="0"/>
          <w:numId w:val="2"/>
        </w:numPr>
        <w:spacing w:beforeLines="0" w:afterLines="0" w:line="240" w:lineRule="auto"/>
        <w:ind w:left="0" w:firstLine="0" w:firstLineChars="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《国家气象灾害防御规划（2009－2020年）》</w:t>
      </w:r>
    </w:p>
    <w:p>
      <w:pPr>
        <w:pStyle w:val="20"/>
        <w:numPr>
          <w:ilvl w:val="0"/>
          <w:numId w:val="2"/>
        </w:numPr>
        <w:spacing w:beforeLines="0" w:afterLines="0" w:line="240" w:lineRule="auto"/>
        <w:ind w:left="0" w:firstLine="0" w:firstLineChars="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《广东省气象灾害防御条例》</w:t>
      </w:r>
    </w:p>
    <w:p>
      <w:pPr>
        <w:pStyle w:val="20"/>
        <w:numPr>
          <w:ilvl w:val="0"/>
          <w:numId w:val="2"/>
        </w:numPr>
        <w:spacing w:beforeLines="0" w:afterLines="0" w:line="240" w:lineRule="auto"/>
        <w:ind w:left="0" w:firstLine="0" w:firstLineChars="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《广东省气象灾害防御规划（2011-2020年）》</w:t>
      </w:r>
    </w:p>
    <w:p>
      <w:pPr>
        <w:pStyle w:val="21"/>
        <w:numPr>
          <w:ilvl w:val="0"/>
          <w:numId w:val="2"/>
        </w:numPr>
        <w:spacing w:before="0" w:beforeAutospacing="0" w:after="0" w:line="240" w:lineRule="auto"/>
        <w:ind w:left="0" w:firstLine="0" w:firstLineChars="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《广东省气象灾害防御重点单位气象安全管理办法》（粤府令第254号）</w:t>
      </w:r>
    </w:p>
    <w:p>
      <w:pPr>
        <w:pStyle w:val="21"/>
        <w:numPr>
          <w:ilvl w:val="0"/>
          <w:numId w:val="2"/>
        </w:numPr>
        <w:spacing w:before="0" w:beforeAutospacing="0" w:after="0" w:line="240" w:lineRule="auto"/>
        <w:ind w:left="0" w:firstLine="0" w:firstLineChars="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广东省发展改革委关于请提供贯彻落实国办发〔2014〕59号文工作措施建议的函（粤发改投资函〔2015〕328号）</w:t>
      </w:r>
    </w:p>
    <w:p>
      <w:pPr>
        <w:pStyle w:val="21"/>
        <w:numPr>
          <w:ilvl w:val="0"/>
          <w:numId w:val="2"/>
        </w:numPr>
        <w:spacing w:before="0" w:beforeAutospacing="0" w:after="0" w:line="240" w:lineRule="auto"/>
        <w:ind w:left="0" w:firstLine="0" w:firstLineChars="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广东省企业投资项目行政审批清单（2015年本）</w:t>
      </w:r>
    </w:p>
    <w:p>
      <w:pPr>
        <w:pStyle w:val="21"/>
        <w:numPr>
          <w:ilvl w:val="0"/>
          <w:numId w:val="2"/>
        </w:numPr>
        <w:spacing w:before="0" w:beforeAutospacing="0" w:after="0" w:line="240" w:lineRule="auto"/>
        <w:ind w:left="0" w:firstLine="0" w:firstLineChars="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广东省人民政府关于印发广东省企业投资项目实行清单管理意见（试行）的通知（粤府〔2015〕26号）</w:t>
      </w:r>
    </w:p>
    <w:p>
      <w:pPr>
        <w:pStyle w:val="21"/>
        <w:numPr>
          <w:ilvl w:val="0"/>
          <w:numId w:val="2"/>
        </w:numPr>
        <w:spacing w:before="0" w:beforeAutospacing="0" w:after="0" w:line="240" w:lineRule="auto"/>
        <w:ind w:left="0" w:firstLine="0" w:firstLineChars="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广东省人民政府办公厅关于印发广东省推进基础设施供给侧结构性改革实施方案配套文件的通知（粤府办〔2017〕58号）</w:t>
      </w:r>
    </w:p>
    <w:p>
      <w:pPr>
        <w:pStyle w:val="21"/>
        <w:numPr>
          <w:ilvl w:val="0"/>
          <w:numId w:val="2"/>
        </w:numPr>
        <w:spacing w:before="0" w:beforeAutospacing="0" w:after="0" w:line="240" w:lineRule="auto"/>
        <w:ind w:left="0" w:firstLine="0" w:firstLineChars="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广东省发展和改革委员会广东省机构编制委员会办公室关于印发《广东省企业投资项目行政审批清单（2018年本）》和《广东省企业投资项目政府监管清单（2018年本）》（粤发改投资〔2018〕1888号）</w:t>
      </w:r>
    </w:p>
    <w:p>
      <w:pPr>
        <w:pStyle w:val="21"/>
        <w:numPr>
          <w:ilvl w:val="0"/>
          <w:numId w:val="2"/>
        </w:numPr>
        <w:spacing w:before="0" w:beforeAutospacing="0" w:after="0" w:line="240" w:lineRule="auto"/>
        <w:ind w:left="0" w:firstLine="0" w:firstLineChars="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广东省人民政府关于印发广东省企业投资项目分类管理和落地便利化改革实施方案的通知（粤府〔2018〕127号）</w:t>
      </w:r>
    </w:p>
    <w:p>
      <w:pPr>
        <w:pStyle w:val="21"/>
        <w:numPr>
          <w:ilvl w:val="0"/>
          <w:numId w:val="2"/>
        </w:numPr>
        <w:spacing w:before="0" w:beforeAutospacing="0" w:after="0" w:line="240" w:lineRule="auto"/>
        <w:ind w:left="0" w:firstLine="0" w:firstLineChars="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w:t>
      </w:r>
      <w:bookmarkStart w:id="24" w:name="_Hlk61877394"/>
      <w:r>
        <w:rPr>
          <w:rFonts w:hint="eastAsia" w:ascii="微软雅黑" w:hAnsi="微软雅黑" w:eastAsia="微软雅黑" w:cs="微软雅黑"/>
          <w:color w:val="222222"/>
          <w:kern w:val="0"/>
          <w:sz w:val="24"/>
          <w:szCs w:val="24"/>
        </w:rPr>
        <w:t>关于印发广东省工程建设项目区域评估操作规程的函</w:t>
      </w:r>
      <w:bookmarkEnd w:id="24"/>
      <w:r>
        <w:rPr>
          <w:rFonts w:hint="eastAsia" w:ascii="微软雅黑" w:hAnsi="微软雅黑" w:eastAsia="微软雅黑" w:cs="微软雅黑"/>
          <w:color w:val="222222"/>
          <w:kern w:val="0"/>
          <w:sz w:val="24"/>
          <w:szCs w:val="24"/>
        </w:rPr>
        <w:t>》（粤自然资函〔2019〕2284号）</w:t>
      </w:r>
      <w:bookmarkStart w:id="25" w:name="_Toc4851_WPSOffice_Level3"/>
      <w:bookmarkEnd w:id="25"/>
      <w:bookmarkStart w:id="26" w:name="_Toc4072284"/>
      <w:bookmarkEnd w:id="26"/>
      <w:bookmarkStart w:id="27" w:name="_Toc69135739"/>
      <w:bookmarkEnd w:id="27"/>
      <w:bookmarkStart w:id="28" w:name="_Toc515441793"/>
      <w:bookmarkEnd w:id="28"/>
      <w:bookmarkStart w:id="29" w:name="_Toc16168801"/>
      <w:bookmarkEnd w:id="29"/>
      <w:bookmarkStart w:id="30" w:name="_Toc477175830"/>
      <w:bookmarkEnd w:id="30"/>
      <w:bookmarkStart w:id="31" w:name="_Toc18641"/>
      <w:bookmarkEnd w:id="31"/>
      <w:bookmarkStart w:id="32" w:name="_Toc467023799"/>
      <w:bookmarkEnd w:id="32"/>
      <w:bookmarkStart w:id="33" w:name="_Toc4712"/>
    </w:p>
    <w:p>
      <w:pPr>
        <w:rPr>
          <w:rFonts w:hint="eastAsia" w:ascii="微软雅黑" w:hAnsi="微软雅黑" w:eastAsia="微软雅黑" w:cs="微软雅黑"/>
          <w:bCs/>
          <w:color w:val="222222"/>
          <w:kern w:val="0"/>
          <w:sz w:val="24"/>
          <w:szCs w:val="24"/>
        </w:rPr>
      </w:pPr>
      <w:r>
        <w:rPr>
          <w:rFonts w:hint="eastAsia" w:ascii="微软雅黑" w:hAnsi="微软雅黑" w:eastAsia="微软雅黑" w:cs="微软雅黑"/>
          <w:bCs/>
          <w:color w:val="222222"/>
          <w:kern w:val="0"/>
          <w:sz w:val="24"/>
          <w:szCs w:val="24"/>
        </w:rPr>
        <w:t>1.</w:t>
      </w:r>
      <w:r>
        <w:rPr>
          <w:rFonts w:hint="eastAsia" w:ascii="微软雅黑" w:hAnsi="微软雅黑" w:eastAsia="微软雅黑" w:cs="微软雅黑"/>
          <w:bCs/>
          <w:color w:val="222222"/>
          <w:kern w:val="0"/>
          <w:sz w:val="24"/>
          <w:szCs w:val="24"/>
          <w:lang w:val="en-US" w:eastAsia="zh-CN"/>
        </w:rPr>
        <w:t>5</w:t>
      </w:r>
      <w:r>
        <w:rPr>
          <w:rFonts w:hint="eastAsia" w:ascii="微软雅黑" w:hAnsi="微软雅黑" w:eastAsia="微软雅黑" w:cs="微软雅黑"/>
          <w:bCs/>
          <w:color w:val="222222"/>
          <w:kern w:val="0"/>
          <w:sz w:val="24"/>
          <w:szCs w:val="24"/>
        </w:rPr>
        <w:t>.2标准、规程、技术规范</w:t>
      </w:r>
      <w:bookmarkEnd w:id="33"/>
    </w:p>
    <w:p>
      <w:pPr>
        <w:pStyle w:val="20"/>
        <w:numPr>
          <w:ilvl w:val="0"/>
          <w:numId w:val="3"/>
        </w:numPr>
        <w:spacing w:beforeLines="0" w:afterLines="0" w:line="240" w:lineRule="auto"/>
        <w:ind w:firstLineChars="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《风险管理——风险评估技术》（GB/T 27921-2011）</w:t>
      </w:r>
    </w:p>
    <w:p>
      <w:pPr>
        <w:pStyle w:val="20"/>
        <w:numPr>
          <w:ilvl w:val="0"/>
          <w:numId w:val="3"/>
        </w:numPr>
        <w:spacing w:beforeLines="0" w:afterLines="0" w:line="240" w:lineRule="auto"/>
        <w:ind w:left="0" w:firstLine="0" w:firstLineChars="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《风险管理原则与实施指南》（GB/T 24353-2009）</w:t>
      </w:r>
    </w:p>
    <w:p>
      <w:pPr>
        <w:pStyle w:val="20"/>
        <w:numPr>
          <w:ilvl w:val="0"/>
          <w:numId w:val="3"/>
        </w:numPr>
        <w:spacing w:beforeLines="0" w:afterLines="0" w:line="240" w:lineRule="auto"/>
        <w:ind w:left="0" w:firstLine="0" w:firstLineChars="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《地面气候资料30年整编常规项目及其统计方法》（QX/T 22-2004）</w:t>
      </w:r>
    </w:p>
    <w:p>
      <w:pPr>
        <w:pStyle w:val="20"/>
        <w:numPr>
          <w:ilvl w:val="0"/>
          <w:numId w:val="3"/>
        </w:numPr>
        <w:spacing w:beforeLines="0" w:afterLines="0" w:line="240" w:lineRule="auto"/>
        <w:ind w:left="0" w:firstLine="0" w:firstLineChars="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《气象资料分类与编码》（QX/T 102-2009）</w:t>
      </w:r>
    </w:p>
    <w:p>
      <w:pPr>
        <w:pStyle w:val="20"/>
        <w:numPr>
          <w:ilvl w:val="0"/>
          <w:numId w:val="3"/>
        </w:numPr>
        <w:spacing w:beforeLines="0" w:afterLines="0" w:line="240" w:lineRule="auto"/>
        <w:ind w:left="0" w:firstLine="0" w:firstLineChars="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《气象要素分类与编码》（QX/T 133-2011）</w:t>
      </w:r>
    </w:p>
    <w:p>
      <w:pPr>
        <w:pStyle w:val="20"/>
        <w:numPr>
          <w:ilvl w:val="0"/>
          <w:numId w:val="3"/>
        </w:numPr>
        <w:spacing w:beforeLines="0" w:afterLines="0" w:line="240" w:lineRule="auto"/>
        <w:ind w:left="0" w:firstLine="0" w:firstLineChars="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《气象数据集核心元数据》（QX/T 39-2005）</w:t>
      </w:r>
    </w:p>
    <w:p>
      <w:pPr>
        <w:pStyle w:val="20"/>
        <w:numPr>
          <w:ilvl w:val="0"/>
          <w:numId w:val="3"/>
        </w:numPr>
        <w:spacing w:beforeLines="0" w:afterLines="0" w:line="240" w:lineRule="auto"/>
        <w:ind w:left="0" w:firstLine="0" w:firstLineChars="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《自然灾害管理基本术语》（GB/T 26376-2010）</w:t>
      </w:r>
    </w:p>
    <w:p>
      <w:pPr>
        <w:pStyle w:val="20"/>
        <w:numPr>
          <w:ilvl w:val="0"/>
          <w:numId w:val="3"/>
        </w:numPr>
        <w:spacing w:beforeLines="0" w:afterLines="0" w:line="240" w:lineRule="auto"/>
        <w:ind w:left="0" w:firstLine="0" w:firstLineChars="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《自然灾害风险管理基本术语》（MZ/T 027-2011）</w:t>
      </w:r>
    </w:p>
    <w:p>
      <w:pPr>
        <w:pStyle w:val="20"/>
        <w:numPr>
          <w:ilvl w:val="0"/>
          <w:numId w:val="3"/>
        </w:numPr>
        <w:spacing w:beforeLines="0" w:afterLines="0" w:line="240" w:lineRule="auto"/>
        <w:ind w:left="0" w:firstLine="0" w:firstLineChars="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《城市总体规划气候可行性论证技术规范》（QX/T 242-2015）</w:t>
      </w:r>
    </w:p>
    <w:p>
      <w:pPr>
        <w:pStyle w:val="20"/>
        <w:numPr>
          <w:ilvl w:val="0"/>
          <w:numId w:val="3"/>
        </w:numPr>
        <w:spacing w:beforeLines="0" w:afterLines="0" w:line="240" w:lineRule="auto"/>
        <w:ind w:left="0" w:firstLine="0" w:firstLineChars="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《暴雨强度公式编制技术指南》（2013年5月）</w:t>
      </w:r>
    </w:p>
    <w:p>
      <w:pPr>
        <w:pStyle w:val="20"/>
        <w:numPr>
          <w:ilvl w:val="0"/>
          <w:numId w:val="3"/>
        </w:numPr>
        <w:spacing w:beforeLines="0" w:afterLines="0" w:line="240" w:lineRule="auto"/>
        <w:ind w:left="0" w:firstLine="0" w:firstLineChars="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《室外排水设计规范》（GB 50014-2006）</w:t>
      </w:r>
    </w:p>
    <w:p>
      <w:pPr>
        <w:pStyle w:val="20"/>
        <w:numPr>
          <w:ilvl w:val="0"/>
          <w:numId w:val="3"/>
        </w:numPr>
        <w:spacing w:beforeLines="0" w:afterLines="0" w:line="240" w:lineRule="auto"/>
        <w:ind w:left="0" w:firstLine="0" w:firstLineChars="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《气候可行性论证规范   总则》（QX/T 469-2018）</w:t>
      </w:r>
    </w:p>
    <w:p>
      <w:pPr>
        <w:pStyle w:val="20"/>
        <w:numPr>
          <w:ilvl w:val="0"/>
          <w:numId w:val="3"/>
        </w:numPr>
        <w:spacing w:beforeLines="0" w:afterLines="0" w:line="240" w:lineRule="auto"/>
        <w:ind w:left="0" w:firstLine="0" w:firstLineChars="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《气候可行性论证规范   资料收集》（QX/T 426-2018）</w:t>
      </w:r>
    </w:p>
    <w:p>
      <w:pPr>
        <w:pStyle w:val="20"/>
        <w:numPr>
          <w:ilvl w:val="0"/>
          <w:numId w:val="3"/>
        </w:numPr>
        <w:spacing w:beforeLines="0" w:afterLines="0" w:line="240" w:lineRule="auto"/>
        <w:ind w:left="0" w:firstLine="0" w:firstLineChars="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《气候可行性论证规范   气象观测资料加工处理》（QX/T 457-2018）</w:t>
      </w:r>
    </w:p>
    <w:p>
      <w:pPr>
        <w:pStyle w:val="20"/>
        <w:numPr>
          <w:ilvl w:val="0"/>
          <w:numId w:val="3"/>
        </w:numPr>
        <w:spacing w:beforeLines="0" w:afterLines="0" w:line="240" w:lineRule="auto"/>
        <w:ind w:left="0" w:firstLine="0" w:firstLineChars="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《气候可行性论证规范   报告编制》（QX/T 423-2018）</w:t>
      </w:r>
    </w:p>
    <w:p>
      <w:pPr>
        <w:pStyle w:val="20"/>
        <w:numPr>
          <w:ilvl w:val="0"/>
          <w:numId w:val="3"/>
        </w:numPr>
        <w:spacing w:beforeLines="0" w:afterLines="0" w:line="240" w:lineRule="auto"/>
        <w:ind w:left="0" w:firstLine="0" w:firstLineChars="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《气候可行性论证规范   机场工程气象参数统计》（QX/T 424-2018）</w:t>
      </w:r>
    </w:p>
    <w:p>
      <w:pPr>
        <w:pStyle w:val="20"/>
        <w:numPr>
          <w:ilvl w:val="0"/>
          <w:numId w:val="3"/>
        </w:numPr>
        <w:spacing w:beforeLines="0" w:afterLines="0" w:line="240" w:lineRule="auto"/>
        <w:ind w:left="0" w:firstLine="0" w:firstLineChars="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《气候可行性论证规范   抗风参数计算》（QX/T 436-2018）</w:t>
      </w:r>
    </w:p>
    <w:p>
      <w:pPr>
        <w:pStyle w:val="20"/>
        <w:numPr>
          <w:ilvl w:val="0"/>
          <w:numId w:val="3"/>
        </w:numPr>
        <w:spacing w:beforeLines="0" w:afterLines="0" w:line="240" w:lineRule="auto"/>
        <w:ind w:left="0" w:firstLine="0" w:firstLineChars="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《气候可行性论证规范   城市通风廊道》（QX/T 437-2018）</w:t>
      </w:r>
    </w:p>
    <w:p>
      <w:pPr>
        <w:pStyle w:val="20"/>
        <w:numPr>
          <w:ilvl w:val="0"/>
          <w:numId w:val="3"/>
        </w:numPr>
        <w:spacing w:beforeLines="0" w:afterLines="0" w:line="240" w:lineRule="auto"/>
        <w:ind w:left="0" w:firstLine="0" w:firstLineChars="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《区域性气候可行性论证技术指南》（2019年8月）中国气象局预报与网络司</w:t>
      </w:r>
    </w:p>
    <w:p>
      <w:pPr>
        <w:widowControl/>
        <w:shd w:val="clear" w:color="auto" w:fill="FFFFFF"/>
        <w:jc w:val="center"/>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　　第二章至第五章（略）</w:t>
      </w:r>
    </w:p>
    <w:p>
      <w:pPr>
        <w:widowControl/>
        <w:shd w:val="clear" w:color="auto" w:fill="FFFFFF"/>
        <w:jc w:val="center"/>
        <w:rPr>
          <w:rFonts w:hint="eastAsia" w:ascii="微软雅黑" w:hAnsi="微软雅黑" w:eastAsia="微软雅黑" w:cs="微软雅黑"/>
          <w:color w:val="222222"/>
          <w:kern w:val="0"/>
          <w:sz w:val="24"/>
          <w:szCs w:val="24"/>
        </w:rPr>
      </w:pPr>
      <w:bookmarkStart w:id="34" w:name="_Toc48056598"/>
      <w:r>
        <w:rPr>
          <w:rFonts w:hint="eastAsia" w:ascii="微软雅黑" w:hAnsi="微软雅黑" w:eastAsia="微软雅黑" w:cs="微软雅黑"/>
          <w:color w:val="464646"/>
          <w:kern w:val="0"/>
          <w:sz w:val="24"/>
          <w:szCs w:val="24"/>
        </w:rPr>
        <w:t>　　</w:t>
      </w:r>
      <w:bookmarkEnd w:id="34"/>
      <w:bookmarkStart w:id="35" w:name="_Toc530931558"/>
      <w:r>
        <w:rPr>
          <w:rFonts w:hint="eastAsia" w:ascii="微软雅黑" w:hAnsi="微软雅黑" w:eastAsia="微软雅黑" w:cs="微软雅黑"/>
          <w:color w:val="464646"/>
          <w:kern w:val="0"/>
          <w:sz w:val="24"/>
          <w:szCs w:val="24"/>
        </w:rPr>
        <w:t>第</w:t>
      </w:r>
      <w:r>
        <w:rPr>
          <w:rFonts w:hint="eastAsia" w:ascii="微软雅黑" w:hAnsi="微软雅黑" w:eastAsia="微软雅黑" w:cs="微软雅黑"/>
          <w:color w:val="464646"/>
          <w:kern w:val="0"/>
          <w:sz w:val="24"/>
          <w:szCs w:val="24"/>
          <w:lang w:val="en-US" w:eastAsia="zh-CN"/>
        </w:rPr>
        <w:t>六</w:t>
      </w:r>
      <w:r>
        <w:rPr>
          <w:rFonts w:hint="eastAsia" w:ascii="微软雅黑" w:hAnsi="微软雅黑" w:eastAsia="微软雅黑" w:cs="微软雅黑"/>
          <w:color w:val="464646"/>
          <w:kern w:val="0"/>
          <w:sz w:val="24"/>
          <w:szCs w:val="24"/>
        </w:rPr>
        <w:t>章</w:t>
      </w:r>
      <w:bookmarkEnd w:id="35"/>
      <w:r>
        <w:rPr>
          <w:rFonts w:hint="eastAsia" w:ascii="微软雅黑" w:hAnsi="微软雅黑" w:eastAsia="微软雅黑" w:cs="微软雅黑"/>
          <w:color w:val="222222"/>
          <w:kern w:val="0"/>
          <w:sz w:val="24"/>
          <w:szCs w:val="24"/>
        </w:rPr>
        <w:t> 结论</w:t>
      </w:r>
    </w:p>
    <w:p>
      <w:pPr>
        <w:ind w:firstLine="480" w:firstLineChars="200"/>
        <w:rPr>
          <w:rFonts w:hint="eastAsia" w:ascii="微软雅黑" w:hAnsi="微软雅黑" w:eastAsia="微软雅黑" w:cs="微软雅黑"/>
          <w:color w:val="222222"/>
          <w:kern w:val="0"/>
          <w:sz w:val="24"/>
          <w:szCs w:val="24"/>
        </w:rPr>
      </w:pPr>
      <w:r>
        <w:rPr>
          <w:rFonts w:hint="eastAsia" w:ascii="微软雅黑" w:hAnsi="微软雅黑" w:eastAsia="微软雅黑" w:cs="微软雅黑"/>
          <w:color w:val="222222"/>
          <w:kern w:val="0"/>
          <w:sz w:val="24"/>
          <w:szCs w:val="24"/>
        </w:rPr>
        <w:t>　　通过对清远民族工业园气候可行性分析研究，得出以下主要结论：</w:t>
      </w:r>
    </w:p>
    <w:p>
      <w:pPr>
        <w:pStyle w:val="9"/>
        <w:widowControl w:val="0"/>
        <w:numPr>
          <w:ilvl w:val="0"/>
          <w:numId w:val="4"/>
        </w:numPr>
        <w:spacing w:before="0" w:beforeAutospacing="0" w:after="0" w:afterAutospacing="0"/>
        <w:jc w:val="both"/>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rPr>
        <w:t>连州市区域年平均气温19.7℃，以1.47℃/10年的速率显著增加；连州市区域年平均气压1002.0hPa，以4.71hpa/10年的速率减少；连州市区域年平均降水量1624.2mm，以330.13mm/10年的速率增加，G2751站年平均降水为1468.9mm；连州市区域年平均相对湿度78.6%，以每10年0.29%的速率减少。</w:t>
      </w:r>
    </w:p>
    <w:p>
      <w:pPr>
        <w:pStyle w:val="9"/>
        <w:widowControl w:val="0"/>
        <w:numPr>
          <w:ilvl w:val="0"/>
          <w:numId w:val="4"/>
        </w:numPr>
        <w:spacing w:before="0" w:beforeAutospacing="0" w:after="0" w:afterAutospacing="0"/>
        <w:jc w:val="both"/>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rPr>
        <w:t>1955-2019年，影响清远市的台风共有149个，年平均2.3个，最多年有6个。清远市受台风影响时段为5-11月，其中又以7-9月为主。影响清远市最早的台风为5月20日（1989年04号台风“Brenda”），最迟为11月8日（1972年33号台风“Pamela”）。从影响清远的台风强度（指台风登陆/近陆时的强度）来看，比例最大的是强热带风暴（49个，占比32.9%），其次是台风（42个，占28.2%），其余依次为热带风暴（26个，占17.4%）、热带低压（22个，占14.8%）、强台风（9个，占6.0%）、超强台风（1个，占0.7%）。</w:t>
      </w:r>
    </w:p>
    <w:p>
      <w:pPr>
        <w:pStyle w:val="9"/>
        <w:widowControl w:val="0"/>
        <w:numPr>
          <w:ilvl w:val="0"/>
          <w:numId w:val="4"/>
        </w:numPr>
        <w:spacing w:before="0" w:beforeAutospacing="0" w:after="0" w:afterAutospacing="0"/>
        <w:jc w:val="both"/>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rPr>
        <w:t>1953-2020年，连州共出现暴雨日数325天，年平均暴雨日4.8天，其中2001年多达12天。连州国家气象站共录得325站次大于等于50mm的暴雨，68年间共录得43站次大于等于100mm的大暴雨。2015年05月20日，连州国家气象站出现大暴雨降水过程，连州国家气象站录得204.6mm的大暴雨，创下建站以来的单日降水最高记录。G2751站2004-2020年17年间共录得82站次大于等于50mm的暴雨，17年间共录得9站次大于等于100mm的大暴雨。</w:t>
      </w:r>
    </w:p>
    <w:p>
      <w:pPr>
        <w:pStyle w:val="9"/>
        <w:widowControl w:val="0"/>
        <w:numPr>
          <w:ilvl w:val="0"/>
          <w:numId w:val="4"/>
        </w:numPr>
        <w:spacing w:before="0" w:beforeAutospacing="0" w:after="0" w:afterAutospacing="0"/>
        <w:jc w:val="both"/>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rPr>
        <w:t>连州国家气象站共出现高温日数（日最高气温大于等于35℃）2133天，年平均31.4天，其中2019年多达62天，最少的1982年则为11天。极端最高气温为41.6℃，出现在2003年07月23日。</w:t>
      </w:r>
    </w:p>
    <w:p>
      <w:pPr>
        <w:pStyle w:val="9"/>
        <w:widowControl w:val="0"/>
        <w:numPr>
          <w:ilvl w:val="0"/>
          <w:numId w:val="4"/>
        </w:numPr>
        <w:spacing w:before="0" w:beforeAutospacing="0" w:after="0" w:afterAutospacing="0"/>
        <w:jc w:val="both"/>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rPr>
        <w:t>本报告通过计算得到连州工业园区域50年一遇10 m高度最大风速24.2m/s，极大风速31.6 m/s，基本风压为0.34kN/㎡。参照G2751站多年逐月极大风速极端值统计表，10年以来，的历史极大风速的最大值为27.5m/s，低于本报告通过计算得到的50年一遇10m高度的极大风速31.6m/s，计算结果合理可信。根据《建筑结构荷载规范》（GB50009－2012）全国各城市的风压表，连州的基本风压为0.30kN/㎡。依据经验，推荐基本风压应采用规范规定方法确定的50年重现期的风压，但不能小于0.30 kN/㎡。因此，该工程区的基本风压定为0.34kN/㎡。</w:t>
      </w:r>
    </w:p>
    <w:p>
      <w:pPr>
        <w:pStyle w:val="9"/>
        <w:spacing w:before="0" w:beforeAutospacing="0" w:after="0" w:afterAutospacing="0"/>
        <w:ind w:firstLine="480" w:firstLineChars="200"/>
        <w:jc w:val="center"/>
        <w:rPr>
          <w:rFonts w:hint="eastAsia" w:ascii="微软雅黑" w:hAnsi="微软雅黑" w:eastAsia="微软雅黑" w:cs="微软雅黑"/>
          <w:color w:val="222222"/>
          <w:sz w:val="24"/>
          <w:szCs w:val="24"/>
        </w:rPr>
      </w:pPr>
      <w:r>
        <w:rPr>
          <w:rFonts w:hint="eastAsia" w:ascii="微软雅黑" w:hAnsi="微软雅黑" w:eastAsia="微软雅黑" w:cs="微软雅黑"/>
          <w:color w:val="464646"/>
          <w:sz w:val="24"/>
          <w:szCs w:val="24"/>
        </w:rPr>
        <w:t>第七章</w:t>
      </w:r>
      <w:r>
        <w:rPr>
          <w:rFonts w:hint="eastAsia" w:ascii="微软雅黑" w:hAnsi="微软雅黑" w:eastAsia="微软雅黑" w:cs="微软雅黑"/>
          <w:color w:val="222222"/>
          <w:sz w:val="24"/>
          <w:szCs w:val="24"/>
        </w:rPr>
        <w:t> 建议</w:t>
      </w:r>
    </w:p>
    <w:p>
      <w:pPr>
        <w:pStyle w:val="9"/>
        <w:spacing w:before="0" w:beforeAutospacing="0" w:after="0" w:afterAutospacing="0"/>
        <w:ind w:firstLine="480" w:firstLineChars="20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rPr>
        <w:t>（一） 规划期。</w:t>
      </w:r>
    </w:p>
    <w:p>
      <w:pPr>
        <w:pStyle w:val="9"/>
        <w:widowControl w:val="0"/>
        <w:numPr>
          <w:ilvl w:val="0"/>
          <w:numId w:val="5"/>
        </w:numPr>
        <w:autoSpaceDE w:val="0"/>
        <w:spacing w:before="0" w:beforeAutospacing="0" w:after="0" w:afterAutospacing="0"/>
        <w:ind w:firstLine="480" w:firstLineChars="200"/>
        <w:jc w:val="both"/>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rPr>
        <w:t>结合地形地势和清远民族工业园的功能设置，注重清远民族工业园与外部衔接的布局规划，提倡采用生态型建设，以海绵城市建设理念为指导，排水规划设计时参考暴雨强度公式结果，改造和完善现有的防洪治涝工程体系，着力建设好“绿色海绵”弹性蓄水系统，重点开展核心区域的地下调蓄及深层排水系统规划建设，构建立体排水体系。</w:t>
      </w:r>
    </w:p>
    <w:p>
      <w:pPr>
        <w:pStyle w:val="9"/>
        <w:spacing w:before="0" w:beforeAutospacing="0" w:after="0" w:afterAutospacing="0"/>
        <w:ind w:firstLine="480" w:firstLineChars="20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rPr>
        <w:t>2. 在园区内项目设计阶段，建议充分考虑清远民族工业园所在区域的大风灾害，尤其是龙卷风灾害多发的特点，以及现有气象观测、预报手段尚且存在不足，难以有效观测和预报龙卷风灾害的现实情况，适当提高园区内各类建筑、设施和车辆的防风抗风能力标准，加强大风灾害防御能力，尽可能降低大风引发灾害的可能。</w:t>
      </w:r>
    </w:p>
    <w:p>
      <w:pPr>
        <w:pStyle w:val="9"/>
        <w:spacing w:before="0" w:beforeAutospacing="0" w:after="0" w:afterAutospacing="0"/>
        <w:ind w:firstLine="480" w:firstLineChars="20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rPr>
        <w:t>3. 合理规划园区建筑物的高度和密度、合理控制园区的人口规模和密度、提高园区绿地覆盖率、推行乔灌草复层绿化、倡导屋顶绿化与垂直绿化、维持或增加水域面积、营造园区楔形绿地、合理规划园区道路和建筑物。</w:t>
      </w:r>
    </w:p>
    <w:p>
      <w:pPr>
        <w:pStyle w:val="9"/>
        <w:spacing w:before="0" w:beforeAutospacing="0" w:after="0" w:afterAutospacing="0"/>
        <w:ind w:firstLine="480" w:firstLineChars="20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rPr>
        <w:t>（二）建设期。</w:t>
      </w:r>
    </w:p>
    <w:p>
      <w:pPr>
        <w:pStyle w:val="9"/>
        <w:spacing w:before="0" w:beforeAutospacing="0" w:after="0" w:afterAutospacing="0"/>
        <w:ind w:firstLine="480" w:firstLineChars="20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rPr>
        <w:t>1. 工业园内的项目在建设期制定暴雨灾害应急响应对策，对暴雨内涝、水土流失等可能对施工和工程安全产生的影响建立灾害分级预警应急响应，把积水等级加入暴雨内涝灾害分级预警应急响应；构建完善的信息传播体系，对暴雨预警及时响应和采取应对措施，保障施工工程和人员安全。加强生命线基础设施，如给水、排水、供电、通讯等系统防洪保障体系建设。</w:t>
      </w:r>
    </w:p>
    <w:p>
      <w:pPr>
        <w:pStyle w:val="9"/>
        <w:spacing w:before="0" w:beforeAutospacing="0" w:after="0" w:afterAutospacing="0"/>
        <w:ind w:firstLine="480" w:firstLineChars="20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rPr>
        <w:t>2. 在园区内项目的建设阶段，建议充分调研清远民族工业园区域内及周边大风灾害隐患情况，特别是加强对可能引发异物入侵风险的隐患排查工作，并针对性地对相关隐患进行消除或预防。制定大风灾害应急响应对策；构建完善的信息传播体系，对雷雨大风预警、台风预警及时响应和采取应对措施，保障施工工程和人员安全。</w:t>
      </w:r>
    </w:p>
    <w:p>
      <w:pPr>
        <w:pStyle w:val="9"/>
        <w:spacing w:before="0" w:beforeAutospacing="0" w:after="0" w:afterAutospacing="0"/>
        <w:ind w:firstLine="480" w:firstLineChars="20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rPr>
        <w:t>（三）运行期。</w:t>
      </w:r>
    </w:p>
    <w:p>
      <w:pPr>
        <w:pStyle w:val="9"/>
        <w:spacing w:before="0" w:beforeAutospacing="0" w:after="0" w:afterAutospacing="0"/>
        <w:ind w:firstLine="480" w:firstLineChars="20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rPr>
        <w:t>1. 充分考虑清远民族工业园区域暴雨多发和量级大的特点，定期检查排水系统、检查排水管道是否畅通，尽可能降低强降水引发积涝；除了日常的排查外，重点还应在每年汛期来临前（一般在每年4月份之前），进行一次全面的暴雨灾害隐患排查和治理，调研清远民族工业园区域内暴雨隐患情况，提高对暴雨灾害及衍生灾害，特别是暴雨引发的积涝灾害的防御能力。</w:t>
      </w:r>
    </w:p>
    <w:p>
      <w:pPr>
        <w:pStyle w:val="9"/>
        <w:spacing w:before="0" w:beforeAutospacing="0" w:after="0" w:afterAutospacing="0"/>
        <w:ind w:firstLine="480" w:firstLineChars="20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rPr>
        <w:t>2. 密切关注连州市气象局发布的暴雨预报和预警信号，在连州市气象局发布了暴雨预报或预警信号后，要及时进行隐患排查并做出相应的治理。建议设置气象电子显示屏，及时接受及播放连州市气象局发布的暴雨预警信号。</w:t>
      </w:r>
    </w:p>
    <w:p>
      <w:pPr>
        <w:pStyle w:val="9"/>
        <w:spacing w:before="0" w:beforeAutospacing="0" w:after="0" w:afterAutospacing="0"/>
        <w:ind w:firstLine="480" w:firstLineChars="20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rPr>
        <w:t>3. 制定针对暴雨灾害的应急预案，建立各级防汛责任制，定期对建筑物的渗漏水及雨水倒灌风险隐患进行排查；制定具有针对性的应急措施，以应对暴雨对道路交通、人员滞留的风险隐患。</w:t>
      </w:r>
    </w:p>
    <w:p>
      <w:pPr>
        <w:pStyle w:val="9"/>
        <w:spacing w:before="0" w:beforeAutospacing="0" w:after="0" w:afterAutospacing="0"/>
        <w:ind w:firstLine="480" w:firstLineChars="20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rPr>
        <w:t>4. 除了重点做好汛期暴雨防御工作之外，非汛期也需要警惕暴雨发生的可能。连州市全年各月均有可能出现暴雨，其中在5-9月出现机会较多。但在全球变暖、极端天气气候事件多发的背景下，非汛期同样可能出现极端的强降水。除加强防御连续暴雨的影响外，还要特别注意短时强降水过程对清远民族工业园区域内需重点关注的风险源的影响。</w:t>
      </w:r>
    </w:p>
    <w:p>
      <w:pPr>
        <w:pStyle w:val="9"/>
        <w:spacing w:before="0" w:beforeAutospacing="0" w:after="0" w:afterAutospacing="0"/>
        <w:ind w:firstLine="480" w:firstLineChars="20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rPr>
        <w:t>5. 充分评估暴雨灾害的可能影响和风险性，加强与周边的联防，全面提升气象灾害预警服务能力和水平；加强应急机构组织建设，有效防御、合理避灾防灾，必要时安全撤离人员，将灾害损失降到最低限度。</w:t>
      </w:r>
    </w:p>
    <w:p>
      <w:pPr>
        <w:pStyle w:val="9"/>
        <w:spacing w:before="0" w:beforeAutospacing="0" w:after="0" w:afterAutospacing="0"/>
        <w:ind w:firstLine="480" w:firstLineChars="20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rPr>
        <w:t>6. 在清远民族工业园内项目的运营阶段，建议对气象灾害较敏感的重要项目运营单位与气象部门共同开展大风对其运营的影响研究，探索气象灾害预警对策机制；共同研发、建设“气象影响预报与风险预警平台”，以项目面临台风、雷雨大风、龙卷等灾害性天气时的安全运行。</w:t>
      </w:r>
    </w:p>
    <w:p>
      <w:pPr>
        <w:pStyle w:val="9"/>
        <w:spacing w:before="0" w:beforeAutospacing="0" w:after="0" w:afterAutospacing="0"/>
        <w:ind w:firstLine="480" w:firstLineChars="20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rPr>
        <w:t>7. 制定雷雨大风、强降水、冰雹、龙卷、飑线等强对流天气以及台风、冬季大风等灾害性天气的应急预案，增强安全意识，降低因大风灾害造成的财产损失和人员伤亡。</w:t>
      </w:r>
    </w:p>
    <w:p>
      <w:pPr>
        <w:pStyle w:val="9"/>
        <w:spacing w:before="0" w:beforeAutospacing="0" w:after="0" w:afterAutospacing="0"/>
        <w:ind w:firstLine="480" w:firstLineChars="20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rPr>
        <w:t>8. 建立各级防风责任制，加强对清远民族工业园区域内建筑物和设施的防风安全隐患排查，及时对易被风吹动的各类设施、搭建物等进行加固或者拆除。</w:t>
      </w:r>
    </w:p>
    <w:p>
      <w:pPr>
        <w:pStyle w:val="9"/>
        <w:spacing w:before="0" w:beforeAutospacing="0" w:after="0" w:afterAutospacing="0"/>
        <w:ind w:firstLine="480" w:firstLineChars="20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rPr>
        <w:t>9. 除了台风、雷雨大风等天气可能造成大风灾害之外，龙卷风、冬季强冷空气过程也可能造成大风灾害，因此，要特别注意冬春季节冷空气大风可能造成的安全隐患，做好各项防御措施，并及时关注气象部门发布的大风预警信息。</w:t>
      </w:r>
    </w:p>
    <w:p>
      <w:pPr>
        <w:pStyle w:val="9"/>
        <w:spacing w:before="0" w:beforeAutospacing="0" w:after="0" w:afterAutospacing="0"/>
        <w:ind w:firstLine="480" w:firstLineChars="20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rPr>
        <w:t>综上所述，在充分考虑气象灾害风险和本报告主要结论的前提下，连州工业园的规划设计从气候角度看是可行的。连州工业园内各项目在设计、建设和运行过程中要充分考虑暴雨、大风、高温等气象灾害的影响，建立健全气象灾害应急预案，避免和减轻高影响天气气候事件造成的损失。并将推算的工程设计气象参数及重现期风速风压等应用于连州工业园内各项目的工程设计中，最大程度地减轻气象灾害带来的不利影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roman"/>
    <w:pitch w:val="default"/>
    <w:sig w:usb0="E00002FF" w:usb1="4000045F" w:usb2="00000000" w:usb3="00000000" w:csb0="2000019F" w:csb1="00000000"/>
  </w:font>
  <w:font w:name="仿宋">
    <w:panose1 w:val="02010609060101010101"/>
    <w:charset w:val="86"/>
    <w:family w:val="modern"/>
    <w:pitch w:val="default"/>
    <w:sig w:usb0="800002BF" w:usb1="38CF7CFA" w:usb2="00000016" w:usb3="00000000" w:csb0="00040001" w:csb1="00000000"/>
  </w:font>
  <w:font w:name="inheri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907762"/>
    <w:multiLevelType w:val="multilevel"/>
    <w:tmpl w:val="2E907762"/>
    <w:lvl w:ilvl="0" w:tentative="0">
      <w:start w:val="1"/>
      <w:numFmt w:val="decimal"/>
      <w:lvlText w:val="（%1）"/>
      <w:lvlJc w:val="left"/>
      <w:pPr>
        <w:ind w:left="765" w:hanging="765"/>
      </w:pPr>
      <w:rPr>
        <w:rFonts w:hint="default" w:ascii="Times New Roman" w:hAnsi="Times New Roman" w:cs="Times New Roman"/>
      </w:rPr>
    </w:lvl>
    <w:lvl w:ilvl="1" w:tentative="0">
      <w:start w:val="1"/>
      <w:numFmt w:val="lowerLetter"/>
      <w:lvlText w:val="%2)"/>
      <w:lvlJc w:val="left"/>
      <w:pPr>
        <w:ind w:left="1180" w:hanging="420"/>
      </w:pPr>
      <w:rPr>
        <w:rFonts w:hint="default" w:ascii="Times New Roman" w:hAnsi="Times New Roman" w:cs="Times New Roman"/>
      </w:rPr>
    </w:lvl>
    <w:lvl w:ilvl="2" w:tentative="0">
      <w:start w:val="1"/>
      <w:numFmt w:val="lowerRoman"/>
      <w:lvlText w:val="%3."/>
      <w:lvlJc w:val="right"/>
      <w:pPr>
        <w:ind w:left="1600" w:hanging="420"/>
      </w:pPr>
      <w:rPr>
        <w:rFonts w:hint="default" w:ascii="Times New Roman" w:hAnsi="Times New Roman" w:cs="Times New Roman"/>
      </w:rPr>
    </w:lvl>
    <w:lvl w:ilvl="3" w:tentative="0">
      <w:start w:val="1"/>
      <w:numFmt w:val="decimal"/>
      <w:lvlText w:val="%4."/>
      <w:lvlJc w:val="left"/>
      <w:pPr>
        <w:ind w:left="2020" w:hanging="420"/>
      </w:pPr>
      <w:rPr>
        <w:rFonts w:hint="default" w:ascii="Times New Roman" w:hAnsi="Times New Roman" w:cs="Times New Roman"/>
      </w:rPr>
    </w:lvl>
    <w:lvl w:ilvl="4" w:tentative="0">
      <w:start w:val="1"/>
      <w:numFmt w:val="lowerLetter"/>
      <w:lvlText w:val="%5)"/>
      <w:lvlJc w:val="left"/>
      <w:pPr>
        <w:ind w:left="2440" w:hanging="420"/>
      </w:pPr>
      <w:rPr>
        <w:rFonts w:hint="default" w:ascii="Times New Roman" w:hAnsi="Times New Roman" w:cs="Times New Roman"/>
      </w:rPr>
    </w:lvl>
    <w:lvl w:ilvl="5" w:tentative="0">
      <w:start w:val="1"/>
      <w:numFmt w:val="lowerRoman"/>
      <w:lvlText w:val="%6."/>
      <w:lvlJc w:val="right"/>
      <w:pPr>
        <w:ind w:left="2860" w:hanging="420"/>
      </w:pPr>
      <w:rPr>
        <w:rFonts w:hint="default" w:ascii="Times New Roman" w:hAnsi="Times New Roman" w:cs="Times New Roman"/>
      </w:rPr>
    </w:lvl>
    <w:lvl w:ilvl="6" w:tentative="0">
      <w:start w:val="1"/>
      <w:numFmt w:val="decimal"/>
      <w:lvlText w:val="%7."/>
      <w:lvlJc w:val="left"/>
      <w:pPr>
        <w:ind w:left="3280" w:hanging="420"/>
      </w:pPr>
      <w:rPr>
        <w:rFonts w:hint="default" w:ascii="Times New Roman" w:hAnsi="Times New Roman" w:cs="Times New Roman"/>
      </w:rPr>
    </w:lvl>
    <w:lvl w:ilvl="7" w:tentative="0">
      <w:start w:val="1"/>
      <w:numFmt w:val="lowerLetter"/>
      <w:lvlText w:val="%8)"/>
      <w:lvlJc w:val="left"/>
      <w:pPr>
        <w:ind w:left="3700" w:hanging="420"/>
      </w:pPr>
      <w:rPr>
        <w:rFonts w:hint="default" w:ascii="Times New Roman" w:hAnsi="Times New Roman" w:cs="Times New Roman"/>
      </w:rPr>
    </w:lvl>
    <w:lvl w:ilvl="8" w:tentative="0">
      <w:start w:val="1"/>
      <w:numFmt w:val="lowerRoman"/>
      <w:lvlText w:val="%9."/>
      <w:lvlJc w:val="right"/>
      <w:pPr>
        <w:ind w:left="4120" w:hanging="420"/>
      </w:pPr>
      <w:rPr>
        <w:rFonts w:hint="default" w:ascii="Times New Roman" w:hAnsi="Times New Roman" w:cs="Times New Roman"/>
      </w:rPr>
    </w:lvl>
  </w:abstractNum>
  <w:abstractNum w:abstractNumId="1">
    <w:nsid w:val="361E56A0"/>
    <w:multiLevelType w:val="multilevel"/>
    <w:tmpl w:val="361E56A0"/>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1124" w:hanging="420"/>
      </w:pPr>
      <w:rPr>
        <w:rFonts w:hint="default" w:ascii="Times New Roman" w:hAnsi="Times New Roman" w:cs="Times New Roman"/>
      </w:rPr>
    </w:lvl>
    <w:lvl w:ilvl="2" w:tentative="0">
      <w:start w:val="1"/>
      <w:numFmt w:val="lowerRoman"/>
      <w:lvlText w:val="%3."/>
      <w:lvlJc w:val="right"/>
      <w:pPr>
        <w:ind w:left="1544" w:hanging="420"/>
      </w:pPr>
      <w:rPr>
        <w:rFonts w:hint="default" w:ascii="Times New Roman" w:hAnsi="Times New Roman" w:cs="Times New Roman"/>
      </w:rPr>
    </w:lvl>
    <w:lvl w:ilvl="3" w:tentative="0">
      <w:start w:val="1"/>
      <w:numFmt w:val="decimal"/>
      <w:lvlText w:val="%4."/>
      <w:lvlJc w:val="left"/>
      <w:pPr>
        <w:ind w:left="1964" w:hanging="420"/>
      </w:pPr>
      <w:rPr>
        <w:rFonts w:hint="default" w:ascii="Times New Roman" w:hAnsi="Times New Roman" w:cs="Times New Roman"/>
      </w:rPr>
    </w:lvl>
    <w:lvl w:ilvl="4" w:tentative="0">
      <w:start w:val="1"/>
      <w:numFmt w:val="lowerLetter"/>
      <w:lvlText w:val="%5)"/>
      <w:lvlJc w:val="left"/>
      <w:pPr>
        <w:ind w:left="2384" w:hanging="420"/>
      </w:pPr>
      <w:rPr>
        <w:rFonts w:hint="default" w:ascii="Times New Roman" w:hAnsi="Times New Roman" w:cs="Times New Roman"/>
      </w:rPr>
    </w:lvl>
    <w:lvl w:ilvl="5" w:tentative="0">
      <w:start w:val="1"/>
      <w:numFmt w:val="lowerRoman"/>
      <w:lvlText w:val="%6."/>
      <w:lvlJc w:val="right"/>
      <w:pPr>
        <w:ind w:left="2804" w:hanging="420"/>
      </w:pPr>
      <w:rPr>
        <w:rFonts w:hint="default" w:ascii="Times New Roman" w:hAnsi="Times New Roman" w:cs="Times New Roman"/>
      </w:rPr>
    </w:lvl>
    <w:lvl w:ilvl="6" w:tentative="0">
      <w:start w:val="1"/>
      <w:numFmt w:val="decimal"/>
      <w:lvlText w:val="%7."/>
      <w:lvlJc w:val="left"/>
      <w:pPr>
        <w:ind w:left="3224" w:hanging="420"/>
      </w:pPr>
      <w:rPr>
        <w:rFonts w:hint="default" w:ascii="Times New Roman" w:hAnsi="Times New Roman" w:cs="Times New Roman"/>
      </w:rPr>
    </w:lvl>
    <w:lvl w:ilvl="7" w:tentative="0">
      <w:start w:val="1"/>
      <w:numFmt w:val="lowerLetter"/>
      <w:lvlText w:val="%8)"/>
      <w:lvlJc w:val="left"/>
      <w:pPr>
        <w:ind w:left="3644" w:hanging="420"/>
      </w:pPr>
      <w:rPr>
        <w:rFonts w:hint="default" w:ascii="Times New Roman" w:hAnsi="Times New Roman" w:cs="Times New Roman"/>
      </w:rPr>
    </w:lvl>
    <w:lvl w:ilvl="8" w:tentative="0">
      <w:start w:val="1"/>
      <w:numFmt w:val="lowerRoman"/>
      <w:lvlText w:val="%9."/>
      <w:lvlJc w:val="right"/>
      <w:pPr>
        <w:ind w:left="4064" w:hanging="420"/>
      </w:pPr>
      <w:rPr>
        <w:rFonts w:hint="default" w:ascii="Times New Roman" w:hAnsi="Times New Roman" w:cs="Times New Roman"/>
      </w:rPr>
    </w:lvl>
  </w:abstractNum>
  <w:abstractNum w:abstractNumId="2">
    <w:nsid w:val="382A7003"/>
    <w:multiLevelType w:val="multilevel"/>
    <w:tmpl w:val="382A7003"/>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CE57970"/>
    <w:multiLevelType w:val="multilevel"/>
    <w:tmpl w:val="5CE57970"/>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1124" w:hanging="420"/>
      </w:pPr>
      <w:rPr>
        <w:rFonts w:hint="default" w:ascii="Times New Roman" w:hAnsi="Times New Roman" w:cs="Times New Roman"/>
      </w:rPr>
    </w:lvl>
    <w:lvl w:ilvl="2" w:tentative="0">
      <w:start w:val="1"/>
      <w:numFmt w:val="lowerRoman"/>
      <w:lvlText w:val="%3."/>
      <w:lvlJc w:val="right"/>
      <w:pPr>
        <w:ind w:left="1544" w:hanging="420"/>
      </w:pPr>
      <w:rPr>
        <w:rFonts w:hint="default" w:ascii="Times New Roman" w:hAnsi="Times New Roman" w:cs="Times New Roman"/>
      </w:rPr>
    </w:lvl>
    <w:lvl w:ilvl="3" w:tentative="0">
      <w:start w:val="1"/>
      <w:numFmt w:val="decimal"/>
      <w:lvlText w:val="%4."/>
      <w:lvlJc w:val="left"/>
      <w:pPr>
        <w:ind w:left="1964" w:hanging="420"/>
      </w:pPr>
      <w:rPr>
        <w:rFonts w:hint="default" w:ascii="Times New Roman" w:hAnsi="Times New Roman" w:cs="Times New Roman"/>
      </w:rPr>
    </w:lvl>
    <w:lvl w:ilvl="4" w:tentative="0">
      <w:start w:val="1"/>
      <w:numFmt w:val="lowerLetter"/>
      <w:lvlText w:val="%5)"/>
      <w:lvlJc w:val="left"/>
      <w:pPr>
        <w:ind w:left="2384" w:hanging="420"/>
      </w:pPr>
      <w:rPr>
        <w:rFonts w:hint="default" w:ascii="Times New Roman" w:hAnsi="Times New Roman" w:cs="Times New Roman"/>
      </w:rPr>
    </w:lvl>
    <w:lvl w:ilvl="5" w:tentative="0">
      <w:start w:val="1"/>
      <w:numFmt w:val="lowerRoman"/>
      <w:lvlText w:val="%6."/>
      <w:lvlJc w:val="right"/>
      <w:pPr>
        <w:ind w:left="2804" w:hanging="420"/>
      </w:pPr>
      <w:rPr>
        <w:rFonts w:hint="default" w:ascii="Times New Roman" w:hAnsi="Times New Roman" w:cs="Times New Roman"/>
      </w:rPr>
    </w:lvl>
    <w:lvl w:ilvl="6" w:tentative="0">
      <w:start w:val="1"/>
      <w:numFmt w:val="decimal"/>
      <w:lvlText w:val="%7."/>
      <w:lvlJc w:val="left"/>
      <w:pPr>
        <w:ind w:left="3224" w:hanging="420"/>
      </w:pPr>
      <w:rPr>
        <w:rFonts w:hint="default" w:ascii="Times New Roman" w:hAnsi="Times New Roman" w:cs="Times New Roman"/>
      </w:rPr>
    </w:lvl>
    <w:lvl w:ilvl="7" w:tentative="0">
      <w:start w:val="1"/>
      <w:numFmt w:val="lowerLetter"/>
      <w:lvlText w:val="%8)"/>
      <w:lvlJc w:val="left"/>
      <w:pPr>
        <w:ind w:left="3644" w:hanging="420"/>
      </w:pPr>
      <w:rPr>
        <w:rFonts w:hint="default" w:ascii="Times New Roman" w:hAnsi="Times New Roman" w:cs="Times New Roman"/>
      </w:rPr>
    </w:lvl>
    <w:lvl w:ilvl="8" w:tentative="0">
      <w:start w:val="1"/>
      <w:numFmt w:val="lowerRoman"/>
      <w:lvlText w:val="%9."/>
      <w:lvlJc w:val="right"/>
      <w:pPr>
        <w:ind w:left="4064" w:hanging="420"/>
      </w:pPr>
      <w:rPr>
        <w:rFonts w:hint="default" w:ascii="Times New Roman" w:hAnsi="Times New Roman" w:cs="Times New Roman"/>
      </w:rPr>
    </w:lvl>
  </w:abstractNum>
  <w:abstractNum w:abstractNumId="4">
    <w:nsid w:val="754F385D"/>
    <w:multiLevelType w:val="multilevel"/>
    <w:tmpl w:val="754F385D"/>
    <w:lvl w:ilvl="0" w:tentative="0">
      <w:start w:val="1"/>
      <w:numFmt w:val="japaneseCounting"/>
      <w:pStyle w:val="8"/>
      <w:lvlText w:val="第%1章"/>
      <w:lvlJc w:val="left"/>
      <w:pPr>
        <w:ind w:left="1200" w:hanging="78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887"/>
    <w:rsid w:val="0015171F"/>
    <w:rsid w:val="00196F3E"/>
    <w:rsid w:val="00232C1D"/>
    <w:rsid w:val="005033C6"/>
    <w:rsid w:val="007062F4"/>
    <w:rsid w:val="007069C2"/>
    <w:rsid w:val="00733285"/>
    <w:rsid w:val="00812E58"/>
    <w:rsid w:val="00851D3E"/>
    <w:rsid w:val="00976959"/>
    <w:rsid w:val="00A33574"/>
    <w:rsid w:val="00A34887"/>
    <w:rsid w:val="00AB5043"/>
    <w:rsid w:val="00B407E1"/>
    <w:rsid w:val="00CA4239"/>
    <w:rsid w:val="21230018"/>
    <w:rsid w:val="2192694E"/>
    <w:rsid w:val="220B5B0D"/>
    <w:rsid w:val="561F2C8F"/>
    <w:rsid w:val="71675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4"/>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qFormat/>
    <w:uiPriority w:val="99"/>
    <w:pPr>
      <w:jc w:val="center"/>
    </w:pPr>
    <w:rPr>
      <w:rFonts w:ascii="黑体" w:hAnsi="黑体" w:eastAsia="黑体" w:cs="Times New Roman"/>
      <w:b/>
      <w:sz w:val="24"/>
      <w:szCs w:val="24"/>
    </w:rPr>
  </w:style>
  <w:style w:type="paragraph" w:styleId="7">
    <w:name w:val="Balloon Text"/>
    <w:basedOn w:val="1"/>
    <w:link w:val="16"/>
    <w:semiHidden/>
    <w:unhideWhenUsed/>
    <w:qFormat/>
    <w:uiPriority w:val="99"/>
    <w:rPr>
      <w:sz w:val="18"/>
      <w:szCs w:val="18"/>
    </w:rPr>
  </w:style>
  <w:style w:type="paragraph" w:styleId="8">
    <w:name w:val="toc 2"/>
    <w:basedOn w:val="1"/>
    <w:next w:val="1"/>
    <w:unhideWhenUsed/>
    <w:qFormat/>
    <w:uiPriority w:val="99"/>
    <w:pPr>
      <w:numPr>
        <w:ilvl w:val="0"/>
        <w:numId w:val="1"/>
      </w:numPr>
      <w:spacing w:before="100" w:beforeAutospacing="1" w:after="100" w:afterAutospacing="1"/>
      <w:jc w:val="center"/>
    </w:pPr>
    <w:rPr>
      <w:rFonts w:ascii="Calibri" w:hAnsi="Calibri" w:eastAsia="宋体" w:cs="Times New Roman"/>
      <w:szCs w:val="21"/>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character" w:customStyle="1" w:styleId="14">
    <w:name w:val="标题 4 Char"/>
    <w:basedOn w:val="11"/>
    <w:link w:val="5"/>
    <w:qFormat/>
    <w:uiPriority w:val="9"/>
    <w:rPr>
      <w:rFonts w:ascii="宋体" w:hAnsi="宋体" w:eastAsia="宋体" w:cs="宋体"/>
      <w:b/>
      <w:bCs/>
      <w:kern w:val="0"/>
      <w:sz w:val="24"/>
      <w:szCs w:val="24"/>
    </w:rPr>
  </w:style>
  <w:style w:type="character" w:customStyle="1" w:styleId="15">
    <w:name w:val="apple-converted-space"/>
    <w:basedOn w:val="11"/>
    <w:qFormat/>
    <w:uiPriority w:val="0"/>
  </w:style>
  <w:style w:type="character" w:customStyle="1" w:styleId="16">
    <w:name w:val="批注框文本 Char"/>
    <w:basedOn w:val="11"/>
    <w:link w:val="7"/>
    <w:semiHidden/>
    <w:qFormat/>
    <w:uiPriority w:val="99"/>
    <w:rPr>
      <w:sz w:val="18"/>
      <w:szCs w:val="18"/>
    </w:rPr>
  </w:style>
  <w:style w:type="paragraph" w:customStyle="1" w:styleId="17">
    <w:name w:val="报告正文"/>
    <w:basedOn w:val="1"/>
    <w:qFormat/>
    <w:uiPriority w:val="0"/>
    <w:pPr>
      <w:adjustRightInd w:val="0"/>
      <w:snapToGrid w:val="0"/>
      <w:spacing w:line="440" w:lineRule="exact"/>
      <w:ind w:firstLine="200" w:firstLineChars="200"/>
    </w:pPr>
    <w:rPr>
      <w:rFonts w:ascii="Times New Roman" w:hAnsi="Times New Roman" w:eastAsia="宋体" w:cs="Times New Roman"/>
      <w:szCs w:val="21"/>
    </w:rPr>
  </w:style>
  <w:style w:type="character" w:customStyle="1" w:styleId="18">
    <w:name w:val="标题 2 Char"/>
    <w:basedOn w:val="11"/>
    <w:link w:val="3"/>
    <w:semiHidden/>
    <w:qFormat/>
    <w:uiPriority w:val="9"/>
    <w:rPr>
      <w:rFonts w:asciiTheme="majorHAnsi" w:hAnsiTheme="majorHAnsi" w:eastAsiaTheme="majorEastAsia" w:cstheme="majorBidi"/>
      <w:b/>
      <w:bCs/>
      <w:sz w:val="32"/>
      <w:szCs w:val="32"/>
    </w:rPr>
  </w:style>
  <w:style w:type="character" w:customStyle="1" w:styleId="19">
    <w:name w:val="标题 3 Char"/>
    <w:basedOn w:val="11"/>
    <w:link w:val="4"/>
    <w:semiHidden/>
    <w:qFormat/>
    <w:uiPriority w:val="9"/>
    <w:rPr>
      <w:b/>
      <w:bCs/>
      <w:sz w:val="32"/>
      <w:szCs w:val="32"/>
    </w:rPr>
  </w:style>
  <w:style w:type="paragraph" w:customStyle="1" w:styleId="20">
    <w:name w:val="样式2"/>
    <w:basedOn w:val="1"/>
    <w:qFormat/>
    <w:uiPriority w:val="0"/>
    <w:pPr>
      <w:spacing w:beforeLines="50" w:afterLines="50" w:line="360" w:lineRule="auto"/>
      <w:ind w:firstLine="320" w:firstLineChars="200"/>
    </w:pPr>
    <w:rPr>
      <w:rFonts w:ascii="Calibri" w:hAnsi="Calibri" w:eastAsia="仿宋" w:cs="Times New Roman"/>
      <w:sz w:val="28"/>
      <w:szCs w:val="28"/>
    </w:rPr>
  </w:style>
  <w:style w:type="paragraph" w:customStyle="1" w:styleId="21">
    <w:name w:val="List Paragraph1"/>
    <w:basedOn w:val="1"/>
    <w:qFormat/>
    <w:uiPriority w:val="0"/>
    <w:pPr>
      <w:widowControl/>
      <w:spacing w:before="100" w:beforeAutospacing="1" w:after="120" w:line="500" w:lineRule="exact"/>
      <w:ind w:firstLine="420" w:firstLineChars="200"/>
    </w:pPr>
    <w:rPr>
      <w:rFonts w:ascii="Times New Roman" w:hAnsi="Times New Roman" w:eastAsia="宋体" w:cs="Times New Roman"/>
      <w:sz w:val="28"/>
      <w:szCs w:val="28"/>
    </w:rPr>
  </w:style>
  <w:style w:type="paragraph" w:customStyle="1" w:styleId="22">
    <w:name w:val="正文文本 (3)"/>
    <w:basedOn w:val="1"/>
    <w:qFormat/>
    <w:uiPriority w:val="0"/>
    <w:pPr>
      <w:shd w:val="clear" w:color="auto" w:fill="FFFFFF"/>
      <w:spacing w:line="466" w:lineRule="exact"/>
      <w:jc w:val="distribute"/>
    </w:pPr>
    <w:rPr>
      <w:rFonts w:ascii="宋体" w:hAnsi="宋体" w:eastAsia="宋体" w:cs="宋体"/>
      <w:b/>
      <w:bCs/>
      <w:sz w:val="22"/>
    </w:rPr>
  </w:style>
  <w:style w:type="character" w:customStyle="1" w:styleId="23">
    <w:name w:val="标题 1 Char"/>
    <w:basedOn w:val="11"/>
    <w:link w:val="2"/>
    <w:qFormat/>
    <w:uiPriority w:val="9"/>
    <w:rPr>
      <w:b/>
      <w:bCs/>
      <w:kern w:val="44"/>
      <w:sz w:val="44"/>
      <w:szCs w:val="44"/>
    </w:rPr>
  </w:style>
  <w:style w:type="paragraph" w:customStyle="1" w:styleId="24">
    <w:name w:val="注×：（正文）"/>
    <w:basedOn w:val="1"/>
    <w:qFormat/>
    <w:uiPriority w:val="0"/>
    <w:pPr>
      <w:widowControl/>
      <w:spacing w:before="100" w:beforeAutospacing="1" w:after="100" w:afterAutospacing="1"/>
      <w:ind w:left="811" w:hanging="448"/>
    </w:pPr>
    <w:rPr>
      <w:rFonts w:ascii="宋体"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1161</Words>
  <Characters>6618</Characters>
  <Lines>55</Lines>
  <Paragraphs>15</Paragraphs>
  <TotalTime>58</TotalTime>
  <ScaleCrop>false</ScaleCrop>
  <LinksUpToDate>false</LinksUpToDate>
  <CharactersWithSpaces>7764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2021-04-26T02:02:00Z</dcterms:created>
  <dc:creator>清远市局文秘</dc:creator>
  <cp:lastModifiedBy>石桑</cp:lastModifiedBy>
  <cp:lastPrinted>2021-05-13T07:33:10Z</cp:lastPrinted>
  <dcterms:modified xsi:type="dcterms:W3CDTF">2021-05-13T08:40:04Z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7BFB52E8851E4963940CA358D02EA0E0</vt:lpwstr>
  </property>
</Properties>
</file>