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060" w:type="dxa"/>
        <w:jc w:val="center"/>
        <w:tblLayout w:type="fixed"/>
        <w:tblCellMar>
          <w:top w:w="0" w:type="dxa"/>
          <w:left w:w="0" w:type="dxa"/>
          <w:bottom w:w="0" w:type="dxa"/>
          <w:right w:w="57" w:type="dxa"/>
        </w:tblCellMar>
      </w:tblPr>
      <w:tblGrid>
        <w:gridCol w:w="8060"/>
      </w:tblGrid>
      <w:tr w14:paraId="6DDDE1DB">
        <w:tblPrEx>
          <w:tblCellMar>
            <w:top w:w="0" w:type="dxa"/>
            <w:left w:w="0" w:type="dxa"/>
            <w:bottom w:w="0" w:type="dxa"/>
            <w:right w:w="57" w:type="dxa"/>
          </w:tblCellMar>
        </w:tblPrEx>
        <w:trPr>
          <w:trHeight w:val="1530" w:hRule="atLeast"/>
          <w:jc w:val="center"/>
        </w:trPr>
        <w:tc>
          <w:tcPr>
            <w:tcW w:w="8060" w:type="dxa"/>
            <w:noWrap w:val="0"/>
            <w:vAlign w:val="center"/>
          </w:tcPr>
          <w:p w14:paraId="4FE75D82">
            <w:pPr>
              <w:spacing w:line="240" w:lineRule="auto"/>
              <w:ind w:left="0" w:leftChars="0" w:right="0" w:rightChars="0" w:firstLine="0" w:firstLineChars="0"/>
              <w:rPr>
                <w:rFonts w:hint="eastAsia" w:ascii="方正小标宋简体" w:hAnsi="方正小标宋简体" w:eastAsia="方正小标宋简体"/>
                <w:b w:val="0"/>
                <w:bCs w:val="0"/>
                <w:color w:val="FF0000"/>
                <w:spacing w:val="-11"/>
                <w:w w:val="98"/>
                <w:sz w:val="84"/>
                <w:szCs w:val="84"/>
                <w:lang w:eastAsia="zh-CN"/>
              </w:rPr>
            </w:pPr>
            <w:r>
              <w:rPr>
                <w:rFonts w:hint="eastAsia" w:ascii="方正小标宋简体" w:hAnsi="方正小标宋简体" w:eastAsia="方正小标宋简体"/>
                <w:b w:val="0"/>
                <w:bCs w:val="0"/>
                <w:color w:val="FF0000"/>
                <w:spacing w:val="-11"/>
                <w:w w:val="98"/>
                <w:kern w:val="0"/>
                <w:sz w:val="84"/>
                <w:szCs w:val="84"/>
                <w:lang w:eastAsia="zh-CN"/>
              </w:rPr>
              <w:t>连州市西岸镇人民政府</w:t>
            </w:r>
          </w:p>
        </w:tc>
      </w:tr>
    </w:tbl>
    <w:p w14:paraId="68C48B70">
      <w:pPr>
        <w:jc w:val="right"/>
        <w:rPr>
          <w:rFonts w:hint="eastAsia"/>
          <w:szCs w:val="21"/>
        </w:rPr>
      </w:pPr>
      <w:r>
        <w:rPr>
          <w:color w:val="FF0000"/>
          <w:sz w:val="20"/>
          <w:szCs w:val="32"/>
        </w:rPr>
        <mc:AlternateContent>
          <mc:Choice Requires="wps">
            <w:drawing>
              <wp:anchor distT="0" distB="0" distL="114300" distR="114300" simplePos="0" relativeHeight="251659264" behindDoc="0" locked="0" layoutInCell="1" allowOverlap="1">
                <wp:simplePos x="0" y="0"/>
                <wp:positionH relativeFrom="column">
                  <wp:posOffset>104140</wp:posOffset>
                </wp:positionH>
                <wp:positionV relativeFrom="paragraph">
                  <wp:posOffset>21590</wp:posOffset>
                </wp:positionV>
                <wp:extent cx="5471795" cy="0"/>
                <wp:effectExtent l="0" t="28575" r="14605" b="28575"/>
                <wp:wrapNone/>
                <wp:docPr id="1" name="直接连接符 1"/>
                <wp:cNvGraphicFramePr/>
                <a:graphic xmlns:a="http://schemas.openxmlformats.org/drawingml/2006/main">
                  <a:graphicData uri="http://schemas.microsoft.com/office/word/2010/wordprocessingShape">
                    <wps:wsp>
                      <wps:cNvCnPr/>
                      <wps:spPr>
                        <a:xfrm>
                          <a:off x="0" y="0"/>
                          <a:ext cx="5471795"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pt;margin-top:1.7pt;height:0pt;width:430.85pt;z-index:251659264;mso-width-relative:page;mso-height-relative:page;" filled="f" stroked="t" coordsize="21600,21600" o:gfxdata="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UDiC0QAAAAYBAAAPAAAAAAAAAAEAIAAAACIAAABkcnMvZG93bnJldi54bWxQSwEC&#10;FAAUAAAACACHTuJADp3e3fsBAADrAwAADgAAAAAAAAABACAAAAAgAQAAZHJzL2Uyb0RvYy54bWxQ&#10;SwUGAAAAAAYABgBZAQAAjQUAAAAA&#10;">
                <v:fill on="f" focussize="0,0"/>
                <v:stroke weight="4.5pt" color="#FF0000" linestyle="thickThin" joinstyle="round"/>
                <v:imagedata o:title=""/>
                <o:lock v:ext="edit" aspectratio="f"/>
              </v:line>
            </w:pict>
          </mc:Fallback>
        </mc:AlternateContent>
      </w:r>
    </w:p>
    <w:p w14:paraId="78C4936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西岸镇2025年和“十四五”工作总结及</w:t>
      </w:r>
    </w:p>
    <w:p w14:paraId="0393492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2026年和“十五五”工作计划</w:t>
      </w:r>
      <w:r>
        <w:rPr>
          <w:rFonts w:hint="eastAsia" w:ascii="方正小标宋简体" w:hAnsi="方正小标宋简体" w:eastAsia="方正小标宋简体" w:cs="方正小标宋简体"/>
          <w:sz w:val="44"/>
          <w:szCs w:val="44"/>
          <w:lang w:eastAsia="zh-CN"/>
        </w:rPr>
        <w:t>报告</w:t>
      </w:r>
    </w:p>
    <w:p w14:paraId="5E9BD00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14:paraId="2D288F45">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黑体"/>
          <w:sz w:val="44"/>
          <w:szCs w:val="44"/>
        </w:rPr>
      </w:pPr>
      <w:r>
        <w:rPr>
          <w:rFonts w:hint="eastAsia" w:ascii="仿宋_GB2312" w:hAnsi="仿宋_GB2312" w:eastAsia="仿宋_GB2312" w:cs="仿宋_GB2312"/>
          <w:sz w:val="32"/>
          <w:szCs w:val="32"/>
          <w:lang w:eastAsia="zh-CN"/>
        </w:rPr>
        <w:t>“十四五”时期，是连州市在高质量发展道路上奋力赶超、争先进位的关键五年。五年来，在市委、市政府的坚强领导下，西岸镇坚持以习近平新时代中国特色社会主义思想为指导，</w:t>
      </w:r>
      <w:r>
        <w:rPr>
          <w:rFonts w:hint="eastAsia" w:ascii="仿宋_GB2312" w:hAnsi="仿宋_GB2312" w:eastAsia="仿宋_GB2312" w:cs="仿宋_GB2312"/>
          <w:sz w:val="32"/>
          <w:szCs w:val="32"/>
          <w:lang w:val="en-US" w:eastAsia="zh-CN"/>
        </w:rPr>
        <w:t>深入贯彻党的</w:t>
      </w:r>
      <w:r>
        <w:rPr>
          <w:rFonts w:hint="eastAsia" w:ascii="仿宋_GB2312" w:hAnsi="仿宋_GB2312" w:eastAsia="仿宋_GB2312" w:cs="仿宋_GB2312"/>
          <w:color w:val="auto"/>
          <w:sz w:val="32"/>
          <w:szCs w:val="32"/>
          <w:lang w:val="en-US" w:eastAsia="zh-CN"/>
        </w:rPr>
        <w:t>二十大精神及二十届二中、三中全会精</w:t>
      </w:r>
      <w:r>
        <w:rPr>
          <w:rFonts w:hint="eastAsia" w:ascii="仿宋_GB2312" w:hAnsi="仿宋_GB2312" w:eastAsia="仿宋_GB2312" w:cs="仿宋_GB2312"/>
          <w:sz w:val="32"/>
          <w:szCs w:val="32"/>
          <w:lang w:val="en-US" w:eastAsia="zh-CN"/>
        </w:rPr>
        <w:t>神，认真落实省委“1310”具体部署、清远市委“十大行动方案”和连州市委“10个行动方案”，聚焦重点领域、抓住关键环节、狠抓落实推进、不断攻坚突破。2025年作为“十四五”规划的收官之年，各项工作取得决定性成果。站在“两个五年”规划的历史交汇点，全面总结过去、系统谋划未来，意义重大，影响深远。</w:t>
      </w:r>
    </w:p>
    <w:p w14:paraId="6963FACA">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四五”以来，西岸镇党委、政府团结带领全镇人民，紧紧围绕“产业兴旺、生态宜居、乡风文明、治理有效、生活富裕”的总要求，锐意进取、攻坚克难，全镇经济社会发展呈现出稳中有进、持续向好的良好态势，为“十五五”时期的高质量发展打下了坚实基础。</w:t>
      </w:r>
    </w:p>
    <w:p w14:paraId="6070A643">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2025年工作亮点及主要做法成效</w:t>
      </w:r>
    </w:p>
    <w:p w14:paraId="0C41B46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ind w:firstLine="643" w:firstLineChars="200"/>
        <w:textAlignment w:val="auto"/>
        <w:rPr>
          <w:rFonts w:hint="default" w:ascii="楷体_GB2312" w:hAnsi="楷体_GB2312" w:eastAsia="楷体_GB2312" w:cs="楷体_GB2312"/>
          <w:b/>
          <w:bCs/>
          <w:color w:val="FF0000"/>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（一）“百千万工程”书写新篇章</w:t>
      </w:r>
    </w:p>
    <w:p w14:paraId="1584BEA8">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_GB2312" w:eastAsia="仿宋_GB2312" w:cs="仿宋_GB2312"/>
          <w:b w:val="0"/>
          <w:bCs w:val="0"/>
          <w:color w:val="FF000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高站位、高标准推进</w:t>
      </w:r>
      <w:r>
        <w:rPr>
          <w:rFonts w:hint="eastAsia" w:ascii="仿宋_GB2312" w:hAnsi="仿宋_GB2312" w:eastAsia="仿宋_GB2312" w:cs="仿宋_GB2312"/>
          <w:b w:val="0"/>
          <w:bCs w:val="0"/>
          <w:kern w:val="2"/>
          <w:sz w:val="32"/>
          <w:szCs w:val="32"/>
          <w:lang w:val="en-US" w:eastAsia="zh-CN" w:bidi="ar-SA"/>
        </w:rPr>
        <w:t>典型镇、村培育。</w:t>
      </w:r>
      <w:r>
        <w:rPr>
          <w:rFonts w:hint="default" w:ascii="仿宋_GB2312" w:hAnsi="仿宋_GB2312" w:eastAsia="仿宋_GB2312" w:cs="仿宋_GB2312"/>
          <w:b w:val="0"/>
          <w:bCs w:val="0"/>
          <w:kern w:val="2"/>
          <w:sz w:val="32"/>
          <w:szCs w:val="32"/>
          <w:lang w:val="en-US" w:eastAsia="zh-CN" w:bidi="ar-SA"/>
        </w:rPr>
        <w:t>东村村荣登省乡村振兴示范村首批名录，</w:t>
      </w:r>
      <w:r>
        <w:rPr>
          <w:rFonts w:hint="eastAsia" w:ascii="仿宋_GB2312" w:hAnsi="仿宋_GB2312" w:eastAsia="仿宋_GB2312" w:cs="仿宋_GB2312"/>
          <w:b w:val="0"/>
          <w:bCs w:val="0"/>
          <w:kern w:val="2"/>
          <w:sz w:val="32"/>
          <w:szCs w:val="32"/>
          <w:lang w:val="en-US" w:eastAsia="zh-CN" w:bidi="ar-SA"/>
        </w:rPr>
        <w:t>同时荣获</w:t>
      </w:r>
      <w:r>
        <w:rPr>
          <w:rFonts w:hint="default" w:ascii="仿宋_GB2312" w:hAnsi="仿宋_GB2312" w:eastAsia="仿宋_GB2312" w:cs="仿宋_GB2312"/>
          <w:b w:val="0"/>
          <w:bCs w:val="0"/>
          <w:kern w:val="2"/>
          <w:sz w:val="32"/>
          <w:szCs w:val="32"/>
          <w:lang w:val="en-US" w:eastAsia="zh-CN" w:bidi="ar-SA"/>
        </w:rPr>
        <w:t>2023年省“百千万工程”优秀</w:t>
      </w:r>
      <w:r>
        <w:rPr>
          <w:rFonts w:hint="eastAsia" w:ascii="仿宋_GB2312" w:hAnsi="仿宋_GB2312" w:eastAsia="仿宋_GB2312" w:cs="仿宋_GB2312"/>
          <w:b w:val="0"/>
          <w:bCs w:val="0"/>
          <w:kern w:val="2"/>
          <w:sz w:val="32"/>
          <w:szCs w:val="32"/>
          <w:lang w:val="en-US" w:eastAsia="zh-CN" w:bidi="ar-SA"/>
        </w:rPr>
        <w:t>及连州首个“全国文明村”称号</w:t>
      </w:r>
      <w:r>
        <w:rPr>
          <w:rFonts w:hint="default" w:ascii="仿宋_GB2312" w:hAnsi="仿宋_GB2312" w:eastAsia="仿宋_GB2312" w:cs="仿宋_GB2312"/>
          <w:b w:val="0"/>
          <w:bCs w:val="0"/>
          <w:color w:val="auto"/>
          <w:kern w:val="2"/>
          <w:sz w:val="32"/>
          <w:szCs w:val="32"/>
          <w:lang w:val="en-US" w:eastAsia="zh-CN" w:bidi="ar-SA"/>
        </w:rPr>
        <w:t>。202</w:t>
      </w:r>
      <w:r>
        <w:rPr>
          <w:rFonts w:hint="eastAsia" w:ascii="仿宋_GB2312" w:hAnsi="仿宋_GB2312" w:eastAsia="仿宋_GB2312" w:cs="仿宋_GB2312"/>
          <w:b w:val="0"/>
          <w:bCs w:val="0"/>
          <w:color w:val="auto"/>
          <w:kern w:val="2"/>
          <w:sz w:val="32"/>
          <w:szCs w:val="32"/>
          <w:lang w:val="en-US" w:eastAsia="zh-CN" w:bidi="ar-SA"/>
        </w:rPr>
        <w:t>5</w:t>
      </w:r>
      <w:r>
        <w:rPr>
          <w:rFonts w:hint="default" w:ascii="仿宋_GB2312" w:hAnsi="仿宋_GB2312" w:eastAsia="仿宋_GB2312" w:cs="仿宋_GB2312"/>
          <w:b w:val="0"/>
          <w:bCs w:val="0"/>
          <w:color w:val="auto"/>
          <w:kern w:val="2"/>
          <w:sz w:val="32"/>
          <w:szCs w:val="32"/>
          <w:lang w:val="en-US" w:eastAsia="zh-CN" w:bidi="ar-SA"/>
        </w:rPr>
        <w:t>年，</w:t>
      </w:r>
      <w:r>
        <w:rPr>
          <w:rFonts w:hint="eastAsia" w:ascii="仿宋_GB2312" w:hAnsi="仿宋_GB2312" w:eastAsia="仿宋_GB2312" w:cs="仿宋_GB2312"/>
          <w:b w:val="0"/>
          <w:bCs w:val="0"/>
          <w:color w:val="auto"/>
          <w:kern w:val="2"/>
          <w:sz w:val="32"/>
          <w:szCs w:val="32"/>
          <w:lang w:val="en-US" w:eastAsia="zh-CN" w:bidi="ar-SA"/>
        </w:rPr>
        <w:t>全面完成</w:t>
      </w:r>
      <w:r>
        <w:rPr>
          <w:rFonts w:hint="default" w:ascii="仿宋_GB2312" w:hAnsi="仿宋_GB2312" w:eastAsia="仿宋_GB2312" w:cs="仿宋_GB2312"/>
          <w:b w:val="0"/>
          <w:bCs w:val="0"/>
          <w:color w:val="auto"/>
          <w:kern w:val="2"/>
          <w:sz w:val="32"/>
          <w:szCs w:val="32"/>
          <w:lang w:val="en-US" w:eastAsia="zh-CN" w:bidi="ar-SA"/>
        </w:rPr>
        <w:t>东村、石兰、河田、冲口</w:t>
      </w:r>
      <w:r>
        <w:rPr>
          <w:rFonts w:hint="eastAsia" w:ascii="仿宋_GB2312" w:hAnsi="仿宋_GB2312" w:eastAsia="仿宋_GB2312" w:cs="仿宋_GB2312"/>
          <w:b w:val="0"/>
          <w:bCs w:val="0"/>
          <w:color w:val="auto"/>
          <w:kern w:val="2"/>
          <w:sz w:val="32"/>
          <w:szCs w:val="32"/>
          <w:lang w:val="en-US" w:eastAsia="zh-CN" w:bidi="ar-SA"/>
        </w:rPr>
        <w:t>4个村典型培育及验收工作。</w:t>
      </w:r>
      <w:r>
        <w:rPr>
          <w:rFonts w:hint="eastAsia" w:ascii="仿宋_GB2312" w:hAnsi="仿宋_GB2312" w:eastAsia="仿宋_GB2312" w:cs="仿宋_GB2312"/>
          <w:b w:val="0"/>
          <w:bCs w:val="0"/>
          <w:kern w:val="2"/>
          <w:sz w:val="32"/>
          <w:szCs w:val="32"/>
          <w:lang w:val="en-US" w:eastAsia="zh-CN" w:bidi="ar-SA"/>
        </w:rPr>
        <w:t>创新“三七奖补”“群众出材料、政府出帮工”等特色经验</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sz w:val="32"/>
          <w:szCs w:val="32"/>
          <w:lang w:val="en-US" w:eastAsia="zh-CN"/>
        </w:rPr>
        <w:t>坚持污水、厕所、人居环境整治优先，补短板、强弱项，打造出西岸首批示范标杆村。投入约5000万推进典型镇建设，聚发展，提能级，</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美丽圩镇入口造景靓丽，镇区形象IP更深入人心。完成镇区污水管网建设1847米，污水</w:t>
      </w:r>
      <w:r>
        <w:rPr>
          <w:rFonts w:hint="eastAsia" w:ascii="仿宋_GB2312" w:hAnsi="黑体" w:eastAsia="仿宋_GB2312"/>
          <w:b w:val="0"/>
          <w:bCs w:val="0"/>
          <w:sz w:val="32"/>
          <w:szCs w:val="32"/>
        </w:rPr>
        <w:t>COD浓度均达</w:t>
      </w:r>
      <w:r>
        <w:rPr>
          <w:rFonts w:hint="eastAsia" w:ascii="仿宋_GB2312" w:hAnsi="黑体" w:eastAsia="仿宋_GB2312"/>
          <w:b w:val="0"/>
          <w:bCs w:val="0"/>
          <w:sz w:val="32"/>
          <w:szCs w:val="32"/>
          <w:lang w:val="en-US" w:eastAsia="zh-CN"/>
        </w:rPr>
        <w:t>100mg/L以上</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。观音山公园成为群众茶余饭后休闲好去处。小型商业综合体为群众提供更多元消费服务。康园中心和养老服务中心投入使用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惠及周边老人、残疾人约200人，提供长者饭堂、就业帮扶共建车间等服务功能，不断增强养老、残疾人康复服务保障</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。圩镇客厅的文物陈列，充分展示西岸深厚的文化底蕴。</w:t>
      </w:r>
      <w:r>
        <w:rPr>
          <w:rFonts w:hint="eastAsia" w:ascii="仿宋_GB2312" w:hAnsi="仿宋_GB2312" w:eastAsia="仿宋_GB2312" w:cs="仿宋_GB2312"/>
          <w:b w:val="0"/>
          <w:bCs w:val="0"/>
          <w:color w:val="auto"/>
          <w:kern w:val="2"/>
          <w:sz w:val="32"/>
          <w:szCs w:val="32"/>
          <w:lang w:val="en-US" w:eastAsia="zh-CN" w:bidi="ar-SA"/>
        </w:rPr>
        <w:t>“共富</w:t>
      </w:r>
      <w:r>
        <w:rPr>
          <w:rFonts w:hint="eastAsia" w:ascii="仿宋_GB2312" w:hAnsi="黑体" w:eastAsia="仿宋_GB2312"/>
          <w:b w:val="0"/>
          <w:bCs w:val="0"/>
          <w:color w:val="auto"/>
          <w:sz w:val="32"/>
          <w:szCs w:val="32"/>
          <w:lang w:val="en-US" w:eastAsia="zh-CN"/>
        </w:rPr>
        <w:t>”厂房顺利投产，补充了西岸镇工业发展短板，为富余劳动力提供就业岗位，促进就业增收</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便民服务中心全面改造升级，增设无障碍厕所、母婴室、调解室、便民休息区及智慧化服务平台，让群众办事更省心、舒心。龙花街及“一河两岸”全面完成改造升级，镇域风貌显著提升。</w:t>
      </w:r>
    </w:p>
    <w:p w14:paraId="5147EBA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ind w:firstLine="643" w:firstLineChars="200"/>
        <w:textAlignment w:val="auto"/>
        <w:rPr>
          <w:rFonts w:hint="default" w:ascii="楷体_GB2312" w:hAnsi="楷体_GB2312" w:eastAsia="楷体_GB2312" w:cs="楷体_GB2312"/>
          <w:b/>
          <w:bCs/>
          <w:color w:val="FF0000"/>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（二）产业发展展现新活力</w:t>
      </w:r>
    </w:p>
    <w:p w14:paraId="0F5734C8">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_GB2312" w:eastAsia="仿宋_GB2312" w:cs="仿宋_GB2312"/>
          <w:b w:val="0"/>
          <w:bCs w:val="0"/>
          <w:color w:val="FF0000"/>
          <w:sz w:val="32"/>
          <w:szCs w:val="32"/>
          <w:highlight w:val="none"/>
          <w:lang w:val="en-US" w:eastAsia="zh-CN"/>
        </w:rPr>
      </w:pPr>
      <w:r>
        <w:rPr>
          <w:rFonts w:hint="eastAsia" w:ascii="仿宋_GB2312" w:hAnsi="仿宋_GB2312" w:eastAsia="仿宋_GB2312" w:cs="仿宋_GB2312"/>
          <w:b w:val="0"/>
          <w:bCs w:val="0"/>
          <w:sz w:val="32"/>
          <w:szCs w:val="32"/>
          <w:lang w:val="en-US" w:eastAsia="zh-CN"/>
        </w:rPr>
        <w:t>立足西岸特色资源禀赋，走好农文旅融合发展道路。大力推进“12221”农产品市场销售体系，</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创新“政企农”联动销售模式，携手华润万家、钱大妈等六大连锁商超，成功将“连州菜心”推向全国。2025年</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西岸计划种植“连州菜心”2.24万亩，预计产量3.81万吨，产值2.44亿元</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。统筹黄埔区专项资金，将黄埔－西岸生态产业基地做大做强。</w:t>
      </w:r>
      <w:r>
        <w:rPr>
          <w:rFonts w:hint="eastAsia" w:ascii="仿宋_GB2312" w:hAnsi="仿宋_GB2312" w:eastAsia="仿宋_GB2312" w:cs="仿宋_GB2312"/>
          <w:b w:val="0"/>
          <w:bCs w:val="0"/>
          <w:sz w:val="32"/>
          <w:szCs w:val="32"/>
          <w:lang w:val="en-US" w:eastAsia="zh-CN"/>
        </w:rPr>
        <w:t>完善园区设施农用地</w:t>
      </w:r>
      <w:r>
        <w:rPr>
          <w:rFonts w:hint="eastAsia" w:ascii="仿宋_GB2312" w:hAnsi="仿宋_GB2312" w:eastAsia="仿宋_GB2312" w:cs="仿宋_GB2312"/>
          <w:b w:val="0"/>
          <w:bCs w:val="0"/>
          <w:sz w:val="32"/>
          <w:szCs w:val="32"/>
          <w:lang w:eastAsia="zh-CN"/>
        </w:rPr>
        <w:t>路面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硬底化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4600㎡</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及周边绿化美化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建设1600㎡。</w:t>
      </w:r>
      <w:r>
        <w:rPr>
          <w:rFonts w:hint="eastAsia" w:ascii="仿宋_GB2312" w:hAnsi="仿宋_GB2312" w:eastAsia="仿宋_GB2312" w:cs="仿宋_GB2312"/>
          <w:b w:val="0"/>
          <w:bCs w:val="0"/>
          <w:sz w:val="32"/>
          <w:szCs w:val="32"/>
          <w:lang w:val="en-US" w:eastAsia="zh-CN"/>
        </w:rPr>
        <w:t>同步增设</w:t>
      </w:r>
      <w:r>
        <w:rPr>
          <w:rFonts w:hint="eastAsia" w:ascii="仿宋_GB2312" w:hAnsi="仿宋_GB2312" w:eastAsia="仿宋_GB2312" w:cs="仿宋_GB2312"/>
          <w:b w:val="0"/>
          <w:bCs w:val="0"/>
          <w:sz w:val="32"/>
          <w:szCs w:val="32"/>
          <w:lang w:eastAsia="zh-CN"/>
        </w:rPr>
        <w:t>基地农业</w:t>
      </w:r>
      <w:r>
        <w:rPr>
          <w:rFonts w:hint="eastAsia" w:ascii="仿宋_GB2312" w:hAnsi="仿宋_GB2312" w:eastAsia="仿宋_GB2312" w:cs="仿宋_GB2312"/>
          <w:b w:val="0"/>
          <w:bCs w:val="0"/>
          <w:sz w:val="32"/>
          <w:szCs w:val="32"/>
        </w:rPr>
        <w:t>社会化服务</w:t>
      </w:r>
      <w:r>
        <w:rPr>
          <w:rFonts w:hint="eastAsia" w:ascii="仿宋_GB2312" w:hAnsi="仿宋_GB2312" w:eastAsia="仿宋_GB2312" w:cs="仿宋_GB2312"/>
          <w:b w:val="0"/>
          <w:bCs w:val="0"/>
          <w:sz w:val="32"/>
          <w:szCs w:val="32"/>
          <w:lang w:eastAsia="zh-CN"/>
        </w:rPr>
        <w:t>中心，</w:t>
      </w:r>
      <w:r>
        <w:rPr>
          <w:rFonts w:hint="eastAsia" w:ascii="仿宋_GB2312" w:hAnsi="仿宋_GB2312" w:eastAsia="仿宋_GB2312" w:cs="仿宋_GB2312"/>
          <w:b w:val="0"/>
          <w:bCs w:val="0"/>
          <w:sz w:val="32"/>
          <w:szCs w:val="32"/>
          <w:lang w:val="en-US" w:eastAsia="zh-CN"/>
        </w:rPr>
        <w:t>投入农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机设备30台，丰富园区配套</w:t>
      </w:r>
      <w:r>
        <w:rPr>
          <w:rFonts w:hint="eastAsia" w:ascii="仿宋_GB2312" w:hAnsi="仿宋_GB2312" w:eastAsia="仿宋_GB2312" w:cs="仿宋_GB2312"/>
          <w:b w:val="0"/>
          <w:bCs w:val="0"/>
          <w:sz w:val="32"/>
          <w:szCs w:val="32"/>
          <w:lang w:val="en-US" w:eastAsia="zh-CN"/>
        </w:rPr>
        <w:t>服务功能。禾·悦生态旅游景区全面完成建设并投入使用，春节期间旅客流量累计22220人</w:t>
      </w:r>
      <w:r>
        <w:rPr>
          <w:rFonts w:hint="eastAsia" w:ascii="仿宋_GB2312" w:hAnsi="仿宋_GB2312" w:eastAsia="仿宋_GB2312" w:cs="仿宋_GB2312"/>
          <w:b w:val="0"/>
          <w:bCs w:val="0"/>
          <w:sz w:val="32"/>
          <w:szCs w:val="32"/>
          <w:highlight w:val="none"/>
          <w:lang w:val="en-US" w:eastAsia="zh-CN"/>
        </w:rPr>
        <w:t>，同比增长63.46％，增幅排名全清远第八。</w:t>
      </w:r>
      <w:r>
        <w:rPr>
          <w:rFonts w:hint="eastAsia" w:ascii="仿宋_GB2312" w:hAnsi="仿宋_GB2312" w:eastAsia="仿宋_GB2312" w:cs="仿宋_GB2312"/>
          <w:b w:val="0"/>
          <w:bCs w:val="0"/>
          <w:sz w:val="32"/>
          <w:szCs w:val="32"/>
          <w:lang w:val="en-US" w:eastAsia="zh-CN"/>
        </w:rPr>
        <w:t>镇属国有企业稳步运行，有力承接镇区垃圾运维、市场管理等多项业务，在增加收入的同时大大降低城镇管理成本。</w:t>
      </w:r>
    </w:p>
    <w:p w14:paraId="65D031A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ind w:firstLine="643" w:firstLineChars="200"/>
        <w:textAlignment w:val="auto"/>
        <w:rPr>
          <w:rFonts w:hint="eastAsia" w:ascii="楷体_GB2312" w:hAnsi="楷体_GB2312" w:eastAsia="楷体_GB2312" w:cs="楷体_GB2312"/>
          <w:b/>
          <w:bCs/>
          <w:color w:val="FF0000"/>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（三）绿美建设焕发新风采</w:t>
      </w:r>
    </w:p>
    <w:p w14:paraId="75E5BE6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仿宋_GB2312" w:hAnsi="仿宋_GB2312" w:eastAsia="仿宋_GB2312" w:cs="仿宋_GB2312"/>
          <w:b w:val="0"/>
          <w:bCs w:val="0"/>
          <w:color w:val="FF000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聚焦绿美乡村建设，西岸镇绿化形象、</w:t>
      </w:r>
      <w:r>
        <w:rPr>
          <w:rFonts w:hint="default" w:ascii="仿宋_GB2312" w:hAnsi="仿宋_GB2312" w:eastAsia="仿宋_GB2312" w:cs="仿宋_GB2312"/>
          <w:b w:val="0"/>
          <w:bCs w:val="0"/>
          <w:kern w:val="2"/>
          <w:sz w:val="32"/>
          <w:szCs w:val="32"/>
          <w:lang w:val="en-US" w:eastAsia="zh-CN" w:bidi="ar-SA"/>
        </w:rPr>
        <w:t>城镇形象大幅提升</w:t>
      </w:r>
      <w:r>
        <w:rPr>
          <w:rFonts w:hint="eastAsia" w:ascii="仿宋_GB2312" w:hAnsi="仿宋_GB2312" w:eastAsia="仿宋_GB2312" w:cs="仿宋_GB2312"/>
          <w:b w:val="0"/>
          <w:bCs w:val="0"/>
          <w:kern w:val="2"/>
          <w:sz w:val="32"/>
          <w:szCs w:val="32"/>
          <w:lang w:val="en-US" w:eastAsia="zh-CN" w:bidi="ar-SA"/>
        </w:rPr>
        <w:t>。2025年完成镇区入口、高速路口、环镇路、进士路、“一河两岸”及S346省道沿线绿化改造</w:t>
      </w:r>
      <w:r>
        <w:rPr>
          <w:rFonts w:hint="eastAsia" w:ascii="仿宋_GB2312" w:hAnsi="仿宋_GB2312" w:eastAsia="仿宋_GB2312" w:cs="仿宋_GB2312"/>
          <w:b w:val="0"/>
          <w:bCs w:val="0"/>
          <w:color w:val="auto"/>
          <w:kern w:val="2"/>
          <w:sz w:val="32"/>
          <w:szCs w:val="32"/>
          <w:lang w:val="en-US" w:eastAsia="zh-CN" w:bidi="ar-SA"/>
        </w:rPr>
        <w:t>17987</w:t>
      </w:r>
      <w:r>
        <w:rPr>
          <w:rFonts w:hint="eastAsia" w:ascii="仿宋_GB2312" w:hAnsi="仿宋_GB2312" w:eastAsia="仿宋_GB2312" w:cs="仿宋_GB2312"/>
          <w:b w:val="0"/>
          <w:bCs w:val="0"/>
          <w:kern w:val="2"/>
          <w:sz w:val="32"/>
          <w:szCs w:val="32"/>
          <w:lang w:val="en-US" w:eastAsia="zh-CN" w:bidi="ar-SA"/>
        </w:rPr>
        <w:t>平方米</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kern w:val="2"/>
          <w:sz w:val="32"/>
          <w:szCs w:val="32"/>
          <w:lang w:val="en-US" w:eastAsia="zh-CN" w:bidi="ar-SA"/>
        </w:rPr>
        <w:t>全镇共种植苗木23030棵；充分发挥党员干部及志愿群体力量，</w:t>
      </w:r>
      <w:r>
        <w:rPr>
          <w:rFonts w:hint="eastAsia" w:ascii="仿宋_GB2312" w:hAnsi="仿宋_GB2312" w:eastAsia="仿宋_GB2312" w:cs="仿宋_GB2312"/>
          <w:b w:val="0"/>
          <w:bCs w:val="0"/>
          <w:color w:val="auto"/>
          <w:kern w:val="2"/>
          <w:sz w:val="32"/>
          <w:szCs w:val="32"/>
          <w:lang w:val="en-US" w:eastAsia="zh-CN" w:bidi="ar-SA"/>
        </w:rPr>
        <w:t>带动各村积极开展乡村绿化、人居环境整治等活动，用心用情共绘绿美乡村</w:t>
      </w:r>
      <w:r>
        <w:rPr>
          <w:rFonts w:hint="eastAsia" w:ascii="仿宋_GB2312" w:hAnsi="仿宋_GB2312" w:eastAsia="仿宋_GB2312" w:cs="仿宋_GB2312"/>
          <w:b w:val="0"/>
          <w:bCs w:val="0"/>
          <w:kern w:val="2"/>
          <w:sz w:val="32"/>
          <w:szCs w:val="32"/>
          <w:lang w:val="en-US" w:eastAsia="zh-CN" w:bidi="ar-SA"/>
        </w:rPr>
        <w:t>；积极</w:t>
      </w:r>
      <w:r>
        <w:rPr>
          <w:rFonts w:hint="eastAsia" w:ascii="仿宋_GB2312" w:hAnsi="仿宋_GB2312" w:eastAsia="仿宋_GB2312" w:cs="仿宋_GB2312"/>
          <w:b w:val="0"/>
          <w:bCs w:val="0"/>
          <w:sz w:val="32"/>
          <w:szCs w:val="32"/>
          <w:lang w:eastAsia="zh-CN"/>
        </w:rPr>
        <w:t>探索“分布式光伏</w:t>
      </w:r>
      <w:r>
        <w:rPr>
          <w:rFonts w:hint="eastAsia" w:ascii="仿宋_GB2312" w:hAnsi="仿宋_GB2312" w:eastAsia="仿宋_GB2312" w:cs="仿宋_GB2312"/>
          <w:b w:val="0"/>
          <w:bCs w:val="0"/>
          <w:sz w:val="32"/>
          <w:szCs w:val="32"/>
          <w:lang w:val="en-US" w:eastAsia="zh-CN"/>
        </w:rPr>
        <w:t>+”绿色发展新途径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利用好各</w:t>
      </w:r>
      <w:r>
        <w:rPr>
          <w:rFonts w:hint="eastAsia" w:ascii="仿宋_GB2312" w:hAnsi="仿宋_GB2312" w:eastAsia="仿宋_GB2312" w:cs="仿宋_GB2312"/>
          <w:b w:val="0"/>
          <w:bCs w:val="0"/>
          <w:sz w:val="32"/>
          <w:szCs w:val="32"/>
          <w:lang w:eastAsia="zh-CN"/>
        </w:rPr>
        <w:t>村</w:t>
      </w:r>
      <w:r>
        <w:rPr>
          <w:rFonts w:hint="eastAsia" w:ascii="仿宋_GB2312" w:hAnsi="仿宋_GB2312" w:eastAsia="仿宋_GB2312" w:cs="仿宋_GB2312"/>
          <w:b w:val="0"/>
          <w:bCs w:val="0"/>
          <w:sz w:val="32"/>
          <w:szCs w:val="32"/>
          <w:lang w:val="en-US" w:eastAsia="zh-CN"/>
        </w:rPr>
        <w:t>闲置公共</w:t>
      </w:r>
      <w:r>
        <w:rPr>
          <w:rFonts w:hint="eastAsia" w:ascii="仿宋_GB2312" w:hAnsi="仿宋_GB2312" w:eastAsia="仿宋_GB2312" w:cs="仿宋_GB2312"/>
          <w:b w:val="0"/>
          <w:bCs w:val="0"/>
          <w:sz w:val="32"/>
          <w:szCs w:val="32"/>
          <w:lang w:eastAsia="zh-CN"/>
        </w:rPr>
        <w:t>资源、</w:t>
      </w:r>
      <w:r>
        <w:rPr>
          <w:rFonts w:hint="eastAsia" w:ascii="仿宋_GB2312" w:hAnsi="仿宋_GB2312" w:eastAsia="仿宋_GB2312" w:cs="仿宋_GB2312"/>
          <w:b w:val="0"/>
          <w:bCs w:val="0"/>
          <w:sz w:val="32"/>
          <w:szCs w:val="32"/>
          <w:lang w:val="en-US" w:eastAsia="zh-CN"/>
        </w:rPr>
        <w:t>民房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村道及“一河两岸”碧道开展分布式光伏建设，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装机容量达2413kW</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强化执法手段，严格程序，大力整治存量危房问题，筑牢安全防线。</w:t>
      </w:r>
    </w:p>
    <w:p w14:paraId="021072B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ind w:firstLine="643" w:firstLineChars="20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（四）文化品牌塑造新优势</w:t>
      </w:r>
    </w:p>
    <w:p w14:paraId="565910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cs="仿宋_GB2312"/>
          <w:sz w:val="32"/>
          <w:szCs w:val="32"/>
          <w:lang w:val="en-US" w:eastAsia="zh-CN"/>
        </w:rPr>
        <w:t>聚焦古村文化资源，利用传统古村落集中连片保护和住建局专项资金2600万元，全面推进东村二期文旅项目（古村之尚 古今共悦）项目</w:t>
      </w:r>
      <w:bookmarkEnd w:id="0"/>
      <w:r>
        <w:rPr>
          <w:rFonts w:hint="eastAsia" w:ascii="仿宋_GB2312" w:hAnsi="仿宋_GB2312" w:eastAsia="仿宋_GB2312" w:cs="仿宋_GB2312"/>
          <w:sz w:val="32"/>
          <w:szCs w:val="32"/>
          <w:lang w:val="en-US" w:eastAsia="zh-CN"/>
        </w:rPr>
        <w:t>，打造省级传统古村落活化利用示范带。探索“岳飞文化+古村活化”新途径，投资115万元，大力推进石兰古村房屋修缮及岳荣岭栈道建设，打造文旅休闲新基地。积极开展文化传承与保护，挖掘历史文化底蕴，将包角制作技艺、钟氏手诊等文化瑰宝申报为非物质文化遗产。端午龙舟节盛大举行，吸引游客2万余名，极大地提升了西岸镇的文化知名度和美誉度。首办“乡村大力王争霸赛”。首办“乡村大力王拔河争霸赛”，试点成效显著，在全市积极推广，汇聚群众热情，彰显“百千万工程”争先创优精神。“鹿吉”形象IP正式“上线”，礼品娃娃、钥匙扣成为摆件挂饰潮流产品。</w:t>
      </w:r>
    </w:p>
    <w:p w14:paraId="5D611CB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ind w:firstLine="643" w:firstLineChars="20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（五）民生保障迈上新台阶</w:t>
      </w:r>
    </w:p>
    <w:p w14:paraId="309048FA">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_GB2312" w:eastAsia="仿宋_GB2312" w:cs="仿宋_GB2312"/>
          <w:b w:val="0"/>
          <w:bCs w:val="0"/>
          <w:color w:val="C00000"/>
          <w:sz w:val="32"/>
          <w:szCs w:val="32"/>
          <w:lang w:val="en-US" w:eastAsia="zh-CN"/>
        </w:rPr>
      </w:pPr>
      <w:r>
        <w:rPr>
          <w:rFonts w:hint="eastAsia" w:ascii="仿宋_GB2312" w:hAnsi="仿宋_GB2312" w:eastAsia="仿宋_GB2312" w:cs="仿宋_GB2312"/>
          <w:b w:val="0"/>
          <w:bCs w:val="0"/>
          <w:kern w:val="2"/>
          <w:sz w:val="32"/>
          <w:szCs w:val="32"/>
          <w:lang w:val="en-US" w:eastAsia="zh-CN" w:bidi="ar-SA"/>
        </w:rPr>
        <w:t>打赢生态环境保护仗，维护绿水青山。持续</w:t>
      </w:r>
      <w:r>
        <w:rPr>
          <w:rFonts w:hint="default" w:ascii="仿宋_GB2312" w:hAnsi="仿宋_GB2312" w:eastAsia="仿宋_GB2312" w:cs="仿宋_GB2312"/>
          <w:b w:val="0"/>
          <w:bCs w:val="0"/>
          <w:sz w:val="32"/>
          <w:szCs w:val="32"/>
          <w:lang w:val="en-US" w:eastAsia="zh-CN"/>
        </w:rPr>
        <w:t>深入实施生活污水收集与处理设施改造工程</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23个自然村污水管网设施指标性任务已全部完成。2021年至今，新建农污设施96座，覆盖14个行政村162个自然村，总体生态环保水平显著提升。全面完成镇域自来水管网和鹅江自来水厂项目，让群众喝上放心水。全面推进龙花沟改造工程，完成渠道改造和清淤1700米，解决汛期排水内涝问题。西岸镇中心学校全面投入使用，新增学位675个，优化数字化教学设施，推动西岸镇教育高质量提质升级。完成清水危桥改造工程，切实保障好清水群众出行安全。</w:t>
      </w:r>
      <w:r>
        <w:rPr>
          <w:rFonts w:hint="eastAsia" w:ascii="仿宋_GB2312" w:hAnsi="仿宋_GB2312" w:eastAsia="仿宋_GB2312" w:cs="仿宋_GB2312"/>
          <w:b w:val="0"/>
          <w:bCs w:val="0"/>
          <w:color w:val="auto"/>
          <w:sz w:val="32"/>
          <w:szCs w:val="32"/>
          <w:lang w:val="en-US" w:eastAsia="zh-CN"/>
        </w:rPr>
        <w:t>完成省际交通服务站建设项目，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新增停车区、休息区与便民服务功能</w:t>
      </w:r>
      <w:r>
        <w:rPr>
          <w:rFonts w:hint="eastAsia" w:ascii="仿宋_GB2312" w:hAnsi="仿宋_GB2312" w:eastAsia="仿宋_GB2312" w:cs="仿宋_GB2312"/>
          <w:b w:val="0"/>
          <w:bCs w:val="0"/>
          <w:color w:val="auto"/>
          <w:sz w:val="32"/>
          <w:szCs w:val="32"/>
          <w:lang w:val="en-US" w:eastAsia="zh-CN"/>
        </w:rPr>
        <w:t>，持续提升跨省枢纽承载能力</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。S346省道改造提升工程已全面进场动工，道路交通安全更有保障。紧盯群众身边急难愁盼问题，强化压力传导，压实领导责任，倒排工期，加快推进清水地质灾害安置点项目。</w:t>
      </w:r>
    </w:p>
    <w:p w14:paraId="532ACA1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ind w:firstLine="643" w:firstLineChars="200"/>
        <w:textAlignment w:val="auto"/>
        <w:rPr>
          <w:rFonts w:hint="default" w:ascii="楷体_GB2312" w:hAnsi="楷体_GB2312" w:eastAsia="楷体_GB2312" w:cs="楷体_GB2312"/>
          <w:b/>
          <w:bCs/>
          <w:color w:val="FF0000"/>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（六）</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安全维稳构筑新防线</w:t>
      </w:r>
    </w:p>
    <w:p w14:paraId="69FE5E3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val="0"/>
          <w:color w:val="C00000"/>
          <w:kern w:val="2"/>
          <w:sz w:val="32"/>
          <w:szCs w:val="32"/>
          <w:lang w:val="en-US" w:eastAsia="zh-CN" w:bidi="ar-SA"/>
        </w:rPr>
      </w:pPr>
      <w:r>
        <w:rPr>
          <w:rFonts w:hint="eastAsia" w:ascii="仿宋_GB2312" w:hAnsi="仿宋_GB2312" w:eastAsia="仿宋_GB2312" w:cs="仿宋_GB2312"/>
          <w:sz w:val="32"/>
          <w:szCs w:val="32"/>
        </w:rPr>
        <w:t>派出所改造3栋楼外立面</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贴砖</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内部装修，</w:t>
      </w:r>
      <w:r>
        <w:rPr>
          <w:rFonts w:hint="eastAsia" w:ascii="仿宋_GB2312" w:hAnsi="仿宋_GB2312" w:eastAsia="仿宋_GB2312" w:cs="仿宋_GB2312"/>
          <w:sz w:val="32"/>
          <w:szCs w:val="32"/>
        </w:rPr>
        <w:t>空闲地</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平整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完成办公场地搬迁，治安管理能力水平持续提升</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受理各类行政案件97宗，移交刑事案件13宗，抓获各类违法犯罪嫌疑人135人，已结案58宗，违法犯罪打击力度不断增强。</w:t>
      </w:r>
      <w:r>
        <w:rPr>
          <w:rFonts w:hint="eastAsia" w:ascii="仿宋_GB2312" w:hAnsi="仿宋_GB2312" w:eastAsia="仿宋_GB2312" w:cs="仿宋_GB2312"/>
          <w:b w:val="0"/>
          <w:bCs w:val="0"/>
          <w:sz w:val="32"/>
          <w:szCs w:val="32"/>
          <w:lang w:val="en-US" w:eastAsia="zh-CN"/>
        </w:rPr>
        <w:t>积极开展侵犯知识产权、制售假冒伪劣商品、非法传销及食品安全打击工作，全年行政处罚案件19宗，发出责令改正书20份，合计罚款</w:t>
      </w:r>
      <w:r>
        <w:rPr>
          <w:rFonts w:hint="default" w:ascii="仿宋_GB2312" w:hAnsi="仿宋_GB2312" w:eastAsia="仿宋_GB2312" w:cs="仿宋_GB2312"/>
          <w:b w:val="0"/>
          <w:bCs w:val="0"/>
          <w:sz w:val="32"/>
          <w:szCs w:val="32"/>
          <w:lang w:val="en-US" w:eastAsia="zh-CN"/>
        </w:rPr>
        <w:t>19030.29</w:t>
      </w:r>
      <w:r>
        <w:rPr>
          <w:rFonts w:hint="eastAsia" w:ascii="仿宋_GB2312" w:hAnsi="仿宋_GB2312" w:eastAsia="仿宋_GB2312" w:cs="仿宋_GB2312"/>
          <w:b w:val="0"/>
          <w:bCs w:val="0"/>
          <w:sz w:val="32"/>
          <w:szCs w:val="32"/>
          <w:lang w:val="en-US" w:eastAsia="zh-CN"/>
        </w:rPr>
        <w:t>元。全方位开展食品安全、燃气安全、安全生产等检查，2025年未发生较大以上安全生产事故。持续加强执法队伍规范化及信息化管理，2025年上岗持证率达100%。以</w:t>
      </w:r>
      <w:r>
        <w:rPr>
          <w:rFonts w:hint="eastAsia" w:ascii="仿宋_GB2312" w:eastAsia="仿宋_GB2312"/>
          <w:b w:val="0"/>
          <w:bCs w:val="0"/>
          <w:color w:val="auto"/>
          <w:sz w:val="32"/>
          <w:szCs w:val="32"/>
          <w:lang w:val="en-US" w:eastAsia="zh-CN"/>
        </w:rPr>
        <w:t>连州菜心为主题打造“解心”调解工作室，同步开展</w:t>
      </w:r>
      <w:r>
        <w:rPr>
          <w:rFonts w:hint="eastAsia" w:ascii="仿宋_GB2312" w:hAnsi="仿宋_GB2312" w:eastAsia="仿宋_GB2312" w:cs="仿宋_GB2312"/>
          <w:b w:val="0"/>
          <w:bCs w:val="0"/>
          <w:sz w:val="32"/>
          <w:szCs w:val="32"/>
          <w:lang w:val="en-US" w:eastAsia="zh-CN"/>
        </w:rPr>
        <w:t>“金牌调解员”队伍建设</w:t>
      </w:r>
      <w:r>
        <w:rPr>
          <w:rFonts w:hint="eastAsia" w:ascii="仿宋_GB2312" w:eastAsia="仿宋_GB2312"/>
          <w:b w:val="0"/>
          <w:bCs w:val="0"/>
          <w:color w:val="auto"/>
          <w:sz w:val="32"/>
          <w:szCs w:val="32"/>
          <w:lang w:val="en-US" w:eastAsia="zh-CN"/>
        </w:rPr>
        <w:t>，</w:t>
      </w:r>
      <w:r>
        <w:rPr>
          <w:rFonts w:hint="eastAsia" w:ascii="仿宋_GB2312" w:hAnsi="仿宋_GB2312" w:eastAsia="仿宋_GB2312" w:cs="仿宋_GB2312"/>
          <w:b w:val="0"/>
          <w:bCs w:val="0"/>
          <w:sz w:val="32"/>
          <w:szCs w:val="32"/>
          <w:lang w:val="en-US" w:eastAsia="zh-CN"/>
        </w:rPr>
        <w:t>汇聚多方专业力量积极参与镇村矛盾纠纷调处工作</w:t>
      </w:r>
      <w:r>
        <w:rPr>
          <w:rFonts w:hint="eastAsia" w:ascii="仿宋_GB2312" w:eastAsia="仿宋_GB2312"/>
          <w:b w:val="0"/>
          <w:bCs w:val="0"/>
          <w:color w:val="auto"/>
          <w:sz w:val="32"/>
          <w:szCs w:val="32"/>
          <w:lang w:val="en-US" w:eastAsia="zh-CN"/>
        </w:rPr>
        <w:t>，不断提升涉稳调解质量和社会效应</w:t>
      </w:r>
      <w:r>
        <w:rPr>
          <w:rFonts w:hint="eastAsia" w:ascii="仿宋_GB2312" w:hAnsi="仿宋_GB2312" w:eastAsia="仿宋_GB2312" w:cs="仿宋_GB2312"/>
          <w:b w:val="0"/>
          <w:bCs w:val="0"/>
          <w:sz w:val="32"/>
          <w:szCs w:val="32"/>
          <w:lang w:val="en-US" w:eastAsia="zh-CN"/>
        </w:rPr>
        <w:t>。</w:t>
      </w:r>
      <w:r>
        <w:rPr>
          <w:rFonts w:hint="eastAsia" w:ascii="仿宋_GB2312" w:hAnsi="Times New Roman" w:eastAsia="仿宋_GB2312" w:cs="Times New Roman"/>
          <w:b w:val="0"/>
          <w:bCs w:val="0"/>
          <w:color w:val="auto"/>
          <w:sz w:val="32"/>
          <w:szCs w:val="32"/>
          <w:lang w:val="en-US" w:eastAsia="zh-CN"/>
        </w:rPr>
        <w:t>积极推动“平安夜话”工作，强化干部职责，</w:t>
      </w:r>
      <w:r>
        <w:rPr>
          <w:rFonts w:hint="eastAsia" w:ascii="仿宋_GB2312" w:hAnsi="仿宋_GB2312" w:eastAsia="仿宋_GB2312" w:cs="仿宋_GB2312"/>
          <w:b w:val="0"/>
          <w:bCs w:val="0"/>
          <w:sz w:val="32"/>
          <w:szCs w:val="32"/>
          <w:lang w:val="en-US" w:eastAsia="zh-CN"/>
        </w:rPr>
        <w:t>收集社情民意26条，化解22条。</w:t>
      </w:r>
    </w:p>
    <w:p w14:paraId="08E471C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ind w:firstLine="643" w:firstLineChars="200"/>
        <w:textAlignment w:val="auto"/>
        <w:rPr>
          <w:rFonts w:hint="default" w:ascii="楷体_GB2312" w:hAnsi="楷体_GB2312" w:eastAsia="楷体_GB2312" w:cs="楷体_GB2312"/>
          <w:b/>
          <w:bCs/>
          <w:color w:val="FF0000"/>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（七）党风廉政建设提升新效能</w:t>
      </w:r>
    </w:p>
    <w:p w14:paraId="48B8BCCB">
      <w:pPr>
        <w:keepNext w:val="0"/>
        <w:keepLines w:val="0"/>
        <w:pageBreakBefore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Times New Roman"/>
          <w:b w:val="0"/>
          <w:bCs w:val="0"/>
          <w:sz w:val="32"/>
          <w:szCs w:val="32"/>
          <w:lang w:val="en-US" w:eastAsia="zh-CN"/>
        </w:rPr>
        <w:t>积极开展中央八项规定及其实施细则学习教育，严格生活、工作作风和值班值守纪律，强化“四风”问题整治，不断筑牢党员干部特别是领导干部拒腐防变的思想道德防线。持续深入拆旧复垦、农村集体“三资”及各类工程项目等领域办案调查，以绝不手软，毫不姑息的态势，加大违法犯罪打击力度，不断巩固巡视巡察整改成果。强化纪律监督，加强村级资金使用管理，切实保障群众利益和集体资产安全。开好办好</w:t>
      </w:r>
      <w:r>
        <w:rPr>
          <w:rFonts w:hint="eastAsia" w:ascii="仿宋_GB2312" w:hAnsi="仿宋_GB2312" w:eastAsia="仿宋_GB2312" w:cs="仿宋_GB2312"/>
          <w:b w:val="0"/>
          <w:bCs w:val="0"/>
          <w:kern w:val="2"/>
          <w:sz w:val="32"/>
          <w:szCs w:val="32"/>
          <w:lang w:val="en-US" w:eastAsia="zh-CN" w:bidi="ar-SA"/>
        </w:rPr>
        <w:t>“干部青年夜校”，打造青年干部学习赋能的主阵地。</w:t>
      </w:r>
      <w:r>
        <w:rPr>
          <w:rFonts w:hint="eastAsia" w:ascii="仿宋_GB2312" w:hAnsi="仿宋_GB2312" w:eastAsia="仿宋_GB2312" w:cs="仿宋_GB2312"/>
          <w:b w:val="0"/>
          <w:bCs w:val="0"/>
          <w:kern w:val="2"/>
          <w:sz w:val="32"/>
          <w:highlight w:val="none"/>
          <w:lang w:val="en-US" w:eastAsia="zh-CN" w:bidi="ar-SA"/>
        </w:rPr>
        <w:t>选优做强产业发展“第一书记”，充分</w:t>
      </w:r>
      <w:r>
        <w:rPr>
          <w:rFonts w:hint="eastAsia" w:ascii="Times New Roman" w:hAnsi="Times New Roman" w:eastAsia="仿宋_GB2312" w:cs="Times New Roman"/>
          <w:b w:val="0"/>
          <w:bCs w:val="0"/>
          <w:kern w:val="2"/>
          <w:sz w:val="32"/>
          <w:highlight w:val="none"/>
          <w:lang w:val="en-US" w:eastAsia="zh-CN" w:bidi="ar-SA"/>
        </w:rPr>
        <w:t>发挥农业产业致富带头人作用，加大产业发展规模，提升村集体收入。</w:t>
      </w:r>
    </w:p>
    <w:p w14:paraId="76E8E69B">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二、“十四五”期间主要工作亮点及成效</w:t>
      </w:r>
    </w:p>
    <w:p w14:paraId="64CA5B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（一）经济发展亮点突出</w:t>
      </w:r>
    </w:p>
    <w:p w14:paraId="7DFF95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firstLine="651" w:firstLineChars="200"/>
        <w:textAlignment w:val="auto"/>
        <w:rPr>
          <w:rStyle w:val="5"/>
          <w:rFonts w:hint="eastAsia" w:ascii="仿宋_GB2312" w:hAnsi="仿宋_GB2312" w:eastAsia="仿宋_GB2312" w:cs="仿宋_GB2312"/>
          <w:b w:val="0"/>
          <w:bCs w:val="0"/>
          <w:i w:val="0"/>
          <w:iCs w:val="0"/>
          <w:caps w:val="0"/>
          <w:spacing w:val="2"/>
          <w:sz w:val="32"/>
          <w:szCs w:val="32"/>
          <w:shd w:val="clear" w:fill="FFFFFF"/>
          <w:lang w:eastAsia="zh-CN"/>
        </w:rPr>
      </w:pPr>
      <w:r>
        <w:rPr>
          <w:rStyle w:val="5"/>
          <w:rFonts w:hint="eastAsia" w:ascii="仿宋_GB2312" w:hAnsi="仿宋_GB2312" w:eastAsia="仿宋_GB2312" w:cs="仿宋_GB2312"/>
          <w:b/>
          <w:bCs/>
          <w:i w:val="0"/>
          <w:iCs w:val="0"/>
          <w:caps w:val="0"/>
          <w:spacing w:val="2"/>
          <w:sz w:val="32"/>
          <w:szCs w:val="32"/>
          <w:shd w:val="clear" w:fill="FFFFFF"/>
        </w:rPr>
        <w:t>农业现代化迈上新台阶</w:t>
      </w:r>
      <w:r>
        <w:rPr>
          <w:rStyle w:val="5"/>
          <w:rFonts w:hint="eastAsia" w:ascii="仿宋_GB2312" w:hAnsi="仿宋_GB2312" w:eastAsia="仿宋_GB2312" w:cs="仿宋_GB2312"/>
          <w:b/>
          <w:bCs/>
          <w:i w:val="0"/>
          <w:iCs w:val="0"/>
          <w:caps w:val="0"/>
          <w:spacing w:val="2"/>
          <w:sz w:val="32"/>
          <w:szCs w:val="32"/>
          <w:shd w:val="clear" w:fill="FFFFFF"/>
          <w:lang w:eastAsia="zh-CN"/>
        </w:rPr>
        <w:t>。一是连州菜心产业蓬兴发展。</w:t>
      </w:r>
      <w:r>
        <w:rPr>
          <w:rStyle w:val="5"/>
          <w:rFonts w:hint="eastAsia" w:ascii="仿宋_GB2312" w:hAnsi="仿宋_GB2312" w:eastAsia="仿宋_GB2312" w:cs="仿宋_GB2312"/>
          <w:b w:val="0"/>
          <w:bCs w:val="0"/>
          <w:i w:val="0"/>
          <w:iCs w:val="0"/>
          <w:caps w:val="0"/>
          <w:spacing w:val="2"/>
          <w:sz w:val="32"/>
          <w:szCs w:val="32"/>
          <w:shd w:val="clear" w:fill="FFFFFF"/>
          <w:lang w:eastAsia="zh-CN"/>
        </w:rPr>
        <w:t>依托连州菜心省级现代化农业产业基地和“12221”市场营销体系建设，不断拓宽连州菜心销售途径，</w:t>
      </w:r>
      <w:bookmarkStart w:id="1" w:name="OLE_LINK2"/>
      <w:r>
        <w:rPr>
          <w:rStyle w:val="5"/>
          <w:rFonts w:hint="eastAsia" w:ascii="仿宋_GB2312" w:hAnsi="仿宋_GB2312" w:eastAsia="仿宋_GB2312" w:cs="仿宋_GB2312"/>
          <w:b w:val="0"/>
          <w:bCs w:val="0"/>
          <w:i w:val="0"/>
          <w:iCs w:val="0"/>
          <w:caps w:val="0"/>
          <w:color w:val="000000" w:themeColor="text1"/>
          <w:spacing w:val="2"/>
          <w:sz w:val="32"/>
          <w:szCs w:val="32"/>
          <w:highlight w:val="none"/>
          <w:shd w:val="clear" w:fill="FFFFFF"/>
          <w:lang w:eastAsia="zh-CN"/>
          <w14:textFill>
            <w14:solidFill>
              <w14:schemeClr w14:val="tx1"/>
            </w14:solidFill>
          </w14:textFill>
        </w:rPr>
        <w:t>“</w:t>
      </w:r>
      <w:r>
        <w:rPr>
          <w:rStyle w:val="5"/>
          <w:rFonts w:hint="eastAsia" w:ascii="仿宋_GB2312" w:hAnsi="仿宋_GB2312" w:eastAsia="仿宋_GB2312" w:cs="仿宋_GB2312"/>
          <w:b w:val="0"/>
          <w:bCs w:val="0"/>
          <w:i w:val="0"/>
          <w:iCs w:val="0"/>
          <w:caps w:val="0"/>
          <w:color w:val="000000" w:themeColor="text1"/>
          <w:spacing w:val="2"/>
          <w:sz w:val="32"/>
          <w:szCs w:val="32"/>
          <w:highlight w:val="none"/>
          <w:shd w:val="clear" w:fill="FFFFFF"/>
          <w:lang w:val="en-US" w:eastAsia="zh-CN"/>
          <w14:textFill>
            <w14:solidFill>
              <w14:schemeClr w14:val="tx1"/>
            </w14:solidFill>
          </w14:textFill>
        </w:rPr>
        <w:t>十四五”期间种植菜心</w:t>
      </w:r>
      <w:bookmarkEnd w:id="1"/>
      <w:r>
        <w:rPr>
          <w:rStyle w:val="5"/>
          <w:rFonts w:hint="eastAsia" w:ascii="仿宋_GB2312" w:hAnsi="仿宋_GB2312" w:eastAsia="仿宋_GB2312" w:cs="仿宋_GB2312"/>
          <w:b w:val="0"/>
          <w:bCs w:val="0"/>
          <w:i w:val="0"/>
          <w:iCs w:val="0"/>
          <w:caps w:val="0"/>
          <w:color w:val="000000" w:themeColor="text1"/>
          <w:spacing w:val="2"/>
          <w:sz w:val="32"/>
          <w:szCs w:val="32"/>
          <w:highlight w:val="none"/>
          <w:shd w:val="clear" w:fill="FFFFFF"/>
          <w:lang w:val="en-US" w:eastAsia="zh-CN"/>
          <w14:textFill>
            <w14:solidFill>
              <w14:schemeClr w14:val="tx1"/>
            </w14:solidFill>
          </w14:textFill>
        </w:rPr>
        <w:t>10.75</w:t>
      </w:r>
      <w:r>
        <w:rPr>
          <w:rStyle w:val="5"/>
          <w:rFonts w:hint="eastAsia" w:ascii="仿宋_GB2312" w:hAnsi="仿宋_GB2312" w:eastAsia="仿宋_GB2312" w:cs="仿宋_GB2312"/>
          <w:b w:val="0"/>
          <w:bCs w:val="0"/>
          <w:i w:val="0"/>
          <w:iCs w:val="0"/>
          <w:caps w:val="0"/>
          <w:color w:val="000000" w:themeColor="text1"/>
          <w:spacing w:val="2"/>
          <w:sz w:val="32"/>
          <w:szCs w:val="32"/>
          <w:highlight w:val="none"/>
          <w:shd w:val="clear" w:fill="FFFFFF"/>
          <w:lang w:eastAsia="zh-CN"/>
          <w14:textFill>
            <w14:solidFill>
              <w14:schemeClr w14:val="tx1"/>
            </w14:solidFill>
          </w14:textFill>
        </w:rPr>
        <w:t>万亩，</w:t>
      </w:r>
      <w:r>
        <w:rPr>
          <w:rStyle w:val="5"/>
          <w:rFonts w:hint="eastAsia" w:ascii="仿宋_GB2312" w:hAnsi="仿宋_GB2312" w:eastAsia="仿宋_GB2312" w:cs="仿宋_GB2312"/>
          <w:b w:val="0"/>
          <w:bCs w:val="0"/>
          <w:i w:val="0"/>
          <w:iCs w:val="0"/>
          <w:caps w:val="0"/>
          <w:color w:val="000000" w:themeColor="text1"/>
          <w:spacing w:val="2"/>
          <w:sz w:val="32"/>
          <w:szCs w:val="32"/>
          <w:highlight w:val="none"/>
          <w:shd w:val="clear" w:fill="FFFFFF"/>
          <w:lang w:val="en-US" w:eastAsia="zh-CN"/>
          <w14:textFill>
            <w14:solidFill>
              <w14:schemeClr w14:val="tx1"/>
            </w14:solidFill>
          </w14:textFill>
        </w:rPr>
        <w:t>产值约10亿元</w:t>
      </w:r>
      <w:r>
        <w:rPr>
          <w:rStyle w:val="5"/>
          <w:rFonts w:hint="eastAsia" w:ascii="仿宋_GB2312" w:hAnsi="仿宋_GB2312" w:eastAsia="仿宋_GB2312" w:cs="仿宋_GB2312"/>
          <w:b w:val="0"/>
          <w:bCs w:val="0"/>
          <w:i w:val="0"/>
          <w:iCs w:val="0"/>
          <w:caps w:val="0"/>
          <w:color w:val="000000" w:themeColor="text1"/>
          <w:spacing w:val="2"/>
          <w:sz w:val="32"/>
          <w:szCs w:val="32"/>
          <w:highlight w:val="none"/>
          <w:shd w:val="clear" w:fill="FFFFFF"/>
          <w:lang w:eastAsia="zh-CN"/>
          <w14:textFill>
            <w14:solidFill>
              <w14:schemeClr w14:val="tx1"/>
            </w14:solidFill>
          </w14:textFill>
        </w:rPr>
        <w:t>；</w:t>
      </w:r>
      <w:r>
        <w:rPr>
          <w:rStyle w:val="5"/>
          <w:rFonts w:hint="eastAsia" w:ascii="仿宋_GB2312" w:hAnsi="仿宋_GB2312" w:eastAsia="仿宋_GB2312" w:cs="仿宋_GB2312"/>
          <w:b/>
          <w:bCs/>
          <w:i w:val="0"/>
          <w:iCs w:val="0"/>
          <w:caps w:val="0"/>
          <w:spacing w:val="2"/>
          <w:sz w:val="32"/>
          <w:szCs w:val="32"/>
          <w:shd w:val="clear" w:fill="FFFFFF"/>
          <w:lang w:eastAsia="zh-CN"/>
        </w:rPr>
        <w:t>二是农业加工能力显著增强。</w:t>
      </w:r>
      <w:r>
        <w:rPr>
          <w:rStyle w:val="5"/>
          <w:rFonts w:hint="eastAsia" w:ascii="仿宋_GB2312" w:hAnsi="仿宋_GB2312" w:eastAsia="仿宋_GB2312" w:cs="仿宋_GB2312"/>
          <w:b w:val="0"/>
          <w:bCs w:val="0"/>
          <w:i w:val="0"/>
          <w:iCs w:val="0"/>
          <w:caps w:val="0"/>
          <w:spacing w:val="2"/>
          <w:sz w:val="32"/>
          <w:szCs w:val="32"/>
          <w:shd w:val="clear" w:fill="FFFFFF"/>
          <w:lang w:eastAsia="zh-CN"/>
        </w:rPr>
        <w:t>投资1200万元建成黄埔－西岸生态产业基地，配备秸秆综合利用中心、农作物加工中心、育苗中心及保鲜仓储分拣包装中心，每年实现约600万元农业产值增长，同比“十三五”期间增长100％；</w:t>
      </w:r>
      <w:r>
        <w:rPr>
          <w:rStyle w:val="5"/>
          <w:rFonts w:hint="eastAsia" w:ascii="仿宋_GB2312" w:hAnsi="仿宋_GB2312" w:eastAsia="仿宋_GB2312" w:cs="仿宋_GB2312"/>
          <w:b/>
          <w:bCs/>
          <w:i w:val="0"/>
          <w:iCs w:val="0"/>
          <w:caps w:val="0"/>
          <w:spacing w:val="2"/>
          <w:sz w:val="32"/>
          <w:szCs w:val="32"/>
          <w:shd w:val="clear" w:fill="FFFFFF"/>
          <w:lang w:eastAsia="zh-CN"/>
        </w:rPr>
        <w:t>三是联农带农发展动能不断增强。</w:t>
      </w:r>
      <w:r>
        <w:rPr>
          <w:rStyle w:val="5"/>
          <w:rFonts w:hint="eastAsia" w:ascii="仿宋_GB2312" w:hAnsi="仿宋_GB2312" w:eastAsia="仿宋_GB2312" w:cs="仿宋_GB2312"/>
          <w:b w:val="0"/>
          <w:bCs w:val="0"/>
          <w:i w:val="0"/>
          <w:iCs w:val="0"/>
          <w:caps w:val="0"/>
          <w:spacing w:val="2"/>
          <w:sz w:val="32"/>
          <w:szCs w:val="32"/>
          <w:shd w:val="clear" w:fill="FFFFFF"/>
          <w:lang w:eastAsia="zh-CN"/>
        </w:rPr>
        <w:t>新型经营主体培育成效显著，引入“农业第一书记”机制，成功探索“企业+村集体”合作模式，土地流转超300亩，村集体年均增收50万元，提供就业岗位30个。</w:t>
      </w:r>
    </w:p>
    <w:p w14:paraId="3A4267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firstLine="651" w:firstLineChars="200"/>
        <w:textAlignment w:val="auto"/>
        <w:rPr>
          <w:rStyle w:val="5"/>
          <w:rFonts w:hint="eastAsia" w:ascii="仿宋_GB2312" w:hAnsi="仿宋_GB2312" w:eastAsia="仿宋_GB2312" w:cs="仿宋_GB2312"/>
          <w:b w:val="0"/>
          <w:bCs w:val="0"/>
          <w:i w:val="0"/>
          <w:iCs w:val="0"/>
          <w:caps w:val="0"/>
          <w:color w:val="FF0000"/>
          <w:spacing w:val="2"/>
          <w:sz w:val="32"/>
          <w:szCs w:val="32"/>
          <w:highlight w:val="yellow"/>
          <w:shd w:val="clear" w:fill="FFFFFF"/>
          <w:lang w:val="en-US" w:eastAsia="zh-CN"/>
        </w:rPr>
      </w:pPr>
      <w:r>
        <w:rPr>
          <w:rStyle w:val="5"/>
          <w:rFonts w:hint="eastAsia" w:ascii="仿宋_GB2312" w:hAnsi="仿宋_GB2312" w:eastAsia="仿宋_GB2312" w:cs="仿宋_GB2312"/>
          <w:b/>
          <w:bCs/>
          <w:i w:val="0"/>
          <w:iCs w:val="0"/>
          <w:caps w:val="0"/>
          <w:spacing w:val="2"/>
          <w:sz w:val="32"/>
          <w:szCs w:val="32"/>
          <w:shd w:val="clear" w:fill="FFFFFF"/>
        </w:rPr>
        <w:t>文旅产业实现突破发展</w:t>
      </w:r>
      <w:r>
        <w:rPr>
          <w:rStyle w:val="5"/>
          <w:rFonts w:hint="eastAsia" w:ascii="仿宋_GB2312" w:hAnsi="仿宋_GB2312" w:eastAsia="仿宋_GB2312" w:cs="仿宋_GB2312"/>
          <w:b/>
          <w:bCs/>
          <w:i w:val="0"/>
          <w:iCs w:val="0"/>
          <w:caps w:val="0"/>
          <w:spacing w:val="2"/>
          <w:sz w:val="32"/>
          <w:szCs w:val="32"/>
          <w:shd w:val="clear" w:fill="FFFFFF"/>
          <w:lang w:eastAsia="zh-CN"/>
        </w:rPr>
        <w:t>。一是激发旅游业态新动能。</w:t>
      </w:r>
      <w:r>
        <w:rPr>
          <w:rFonts w:hint="eastAsia" w:ascii="仿宋_GB2312" w:hAnsi="仿宋_GB2312" w:eastAsia="仿宋_GB2312" w:cs="仿宋_GB2312"/>
          <w:i w:val="0"/>
          <w:iCs w:val="0"/>
          <w:caps w:val="0"/>
          <w:spacing w:val="2"/>
          <w:sz w:val="32"/>
          <w:szCs w:val="32"/>
          <w:shd w:val="clear" w:fill="FFFFFF"/>
          <w:lang w:eastAsia="zh-CN"/>
        </w:rPr>
        <w:t>引入</w:t>
      </w:r>
      <w:r>
        <w:rPr>
          <w:rFonts w:hint="eastAsia" w:ascii="仿宋_GB2312" w:hAnsi="仿宋_GB2312" w:eastAsia="仿宋_GB2312" w:cs="仿宋_GB2312"/>
          <w:i w:val="0"/>
          <w:iCs w:val="0"/>
          <w:caps w:val="0"/>
          <w:spacing w:val="2"/>
          <w:sz w:val="32"/>
          <w:szCs w:val="32"/>
          <w:shd w:val="clear" w:fill="FFFFFF"/>
          <w:lang w:val="en-US" w:eastAsia="zh-CN"/>
        </w:rPr>
        <w:t>千玺</w:t>
      </w:r>
      <w:r>
        <w:rPr>
          <w:rFonts w:hint="eastAsia" w:ascii="仿宋_GB2312" w:hAnsi="仿宋_GB2312" w:eastAsia="仿宋_GB2312" w:cs="仿宋_GB2312"/>
          <w:i w:val="0"/>
          <w:iCs w:val="0"/>
          <w:caps w:val="0"/>
          <w:spacing w:val="2"/>
          <w:sz w:val="32"/>
          <w:szCs w:val="32"/>
          <w:shd w:val="clear" w:fill="FFFFFF"/>
          <w:lang w:eastAsia="zh-CN"/>
        </w:rPr>
        <w:t>旅游开发公司，投入</w:t>
      </w:r>
      <w:r>
        <w:rPr>
          <w:rFonts w:hint="eastAsia" w:ascii="仿宋_GB2312" w:hAnsi="仿宋_GB2312" w:eastAsia="仿宋_GB2312" w:cs="仿宋_GB2312"/>
          <w:i w:val="0"/>
          <w:iCs w:val="0"/>
          <w:caps w:val="0"/>
          <w:spacing w:val="2"/>
          <w:sz w:val="32"/>
          <w:szCs w:val="32"/>
          <w:shd w:val="clear" w:fill="FFFFFF"/>
          <w:lang w:val="en-US" w:eastAsia="zh-CN"/>
        </w:rPr>
        <w:t>3000万元</w:t>
      </w:r>
      <w:r>
        <w:rPr>
          <w:rFonts w:hint="eastAsia" w:ascii="仿宋_GB2312" w:hAnsi="仿宋_GB2312" w:eastAsia="仿宋_GB2312" w:cs="仿宋_GB2312"/>
          <w:i w:val="0"/>
          <w:iCs w:val="0"/>
          <w:caps w:val="0"/>
          <w:spacing w:val="2"/>
          <w:sz w:val="32"/>
          <w:szCs w:val="32"/>
          <w:shd w:val="clear" w:fill="FFFFFF"/>
          <w:lang w:eastAsia="zh-CN"/>
        </w:rPr>
        <w:t>精心打造西岸东村生态旅游景区。该景区整合多元旅游资源，推出精品民宿、丛林营地、特色宴会厅、户外大草坪、木屋汤泉等特色项目。自运营以来，景区吸引力持续攀升，年均游客量突破3万人次，同比“十三五”期间增长</w:t>
      </w:r>
      <w:r>
        <w:rPr>
          <w:rFonts w:hint="eastAsia" w:ascii="仿宋_GB2312" w:hAnsi="仿宋_GB2312" w:eastAsia="仿宋_GB2312" w:cs="仿宋_GB2312"/>
          <w:i w:val="0"/>
          <w:iCs w:val="0"/>
          <w:caps w:val="0"/>
          <w:spacing w:val="2"/>
          <w:sz w:val="32"/>
          <w:szCs w:val="32"/>
          <w:shd w:val="clear" w:fill="FFFFFF"/>
          <w:lang w:val="en-US" w:eastAsia="zh-CN"/>
        </w:rPr>
        <w:t>130</w:t>
      </w:r>
      <w:r>
        <w:rPr>
          <w:rFonts w:hint="eastAsia" w:ascii="仿宋_GB2312" w:hAnsi="仿宋_GB2312" w:eastAsia="仿宋_GB2312" w:cs="仿宋_GB2312"/>
          <w:i w:val="0"/>
          <w:iCs w:val="0"/>
          <w:caps w:val="0"/>
          <w:spacing w:val="2"/>
          <w:sz w:val="32"/>
          <w:szCs w:val="32"/>
          <w:shd w:val="clear" w:fill="FFFFFF"/>
          <w:lang w:eastAsia="zh-CN"/>
        </w:rPr>
        <w:t>%；旅游收入及带动创收超</w:t>
      </w:r>
      <w:r>
        <w:rPr>
          <w:rFonts w:hint="eastAsia" w:ascii="仿宋_GB2312" w:hAnsi="仿宋_GB2312" w:eastAsia="仿宋_GB2312" w:cs="仿宋_GB2312"/>
          <w:i w:val="0"/>
          <w:iCs w:val="0"/>
          <w:caps w:val="0"/>
          <w:spacing w:val="2"/>
          <w:sz w:val="32"/>
          <w:szCs w:val="32"/>
          <w:shd w:val="clear" w:fill="FFFFFF"/>
          <w:lang w:val="en-US" w:eastAsia="zh-CN"/>
        </w:rPr>
        <w:t>600</w:t>
      </w:r>
      <w:r>
        <w:rPr>
          <w:rFonts w:hint="eastAsia" w:ascii="仿宋_GB2312" w:hAnsi="仿宋_GB2312" w:eastAsia="仿宋_GB2312" w:cs="仿宋_GB2312"/>
          <w:i w:val="0"/>
          <w:iCs w:val="0"/>
          <w:caps w:val="0"/>
          <w:spacing w:val="2"/>
          <w:sz w:val="32"/>
          <w:szCs w:val="32"/>
          <w:shd w:val="clear" w:fill="FFFFFF"/>
          <w:lang w:eastAsia="zh-CN"/>
        </w:rPr>
        <w:t>万元，同比“十三五”期间增长</w:t>
      </w:r>
      <w:r>
        <w:rPr>
          <w:rFonts w:hint="eastAsia" w:ascii="仿宋_GB2312" w:hAnsi="仿宋_GB2312" w:eastAsia="仿宋_GB2312" w:cs="仿宋_GB2312"/>
          <w:i w:val="0"/>
          <w:iCs w:val="0"/>
          <w:caps w:val="0"/>
          <w:spacing w:val="2"/>
          <w:sz w:val="32"/>
          <w:szCs w:val="32"/>
          <w:shd w:val="clear" w:fill="FFFFFF"/>
          <w:lang w:val="en-US" w:eastAsia="zh-CN"/>
        </w:rPr>
        <w:t>200</w:t>
      </w:r>
      <w:r>
        <w:rPr>
          <w:rFonts w:hint="eastAsia" w:ascii="仿宋_GB2312" w:hAnsi="仿宋_GB2312" w:eastAsia="仿宋_GB2312" w:cs="仿宋_GB2312"/>
          <w:i w:val="0"/>
          <w:iCs w:val="0"/>
          <w:caps w:val="0"/>
          <w:spacing w:val="2"/>
          <w:sz w:val="32"/>
          <w:szCs w:val="32"/>
          <w:shd w:val="clear" w:fill="FFFFFF"/>
          <w:lang w:eastAsia="zh-CN"/>
        </w:rPr>
        <w:t>%；同时带动村集体增收</w:t>
      </w:r>
      <w:r>
        <w:rPr>
          <w:rFonts w:hint="eastAsia" w:ascii="仿宋_GB2312" w:hAnsi="仿宋_GB2312" w:eastAsia="仿宋_GB2312" w:cs="仿宋_GB2312"/>
          <w:i w:val="0"/>
          <w:iCs w:val="0"/>
          <w:caps w:val="0"/>
          <w:spacing w:val="2"/>
          <w:sz w:val="32"/>
          <w:szCs w:val="32"/>
          <w:shd w:val="clear" w:fill="FFFFFF"/>
          <w:lang w:val="en-US" w:eastAsia="zh-CN"/>
        </w:rPr>
        <w:t>18</w:t>
      </w:r>
      <w:r>
        <w:rPr>
          <w:rFonts w:hint="eastAsia" w:ascii="仿宋_GB2312" w:hAnsi="仿宋_GB2312" w:eastAsia="仿宋_GB2312" w:cs="仿宋_GB2312"/>
          <w:i w:val="0"/>
          <w:iCs w:val="0"/>
          <w:caps w:val="0"/>
          <w:spacing w:val="2"/>
          <w:sz w:val="32"/>
          <w:szCs w:val="32"/>
          <w:shd w:val="clear" w:fill="FFFFFF"/>
          <w:lang w:eastAsia="zh-CN"/>
        </w:rPr>
        <w:t>万元，同比“十三五”期间增长</w:t>
      </w:r>
      <w:r>
        <w:rPr>
          <w:rFonts w:hint="eastAsia" w:ascii="仿宋_GB2312" w:hAnsi="仿宋_GB2312" w:eastAsia="仿宋_GB2312" w:cs="仿宋_GB2312"/>
          <w:i w:val="0"/>
          <w:iCs w:val="0"/>
          <w:caps w:val="0"/>
          <w:spacing w:val="2"/>
          <w:sz w:val="32"/>
          <w:szCs w:val="32"/>
          <w:shd w:val="clear" w:fill="FFFFFF"/>
          <w:lang w:val="en-US" w:eastAsia="zh-CN"/>
        </w:rPr>
        <w:t>50</w:t>
      </w:r>
      <w:r>
        <w:rPr>
          <w:rFonts w:hint="eastAsia" w:ascii="仿宋_GB2312" w:hAnsi="仿宋_GB2312" w:eastAsia="仿宋_GB2312" w:cs="仿宋_GB2312"/>
          <w:i w:val="0"/>
          <w:iCs w:val="0"/>
          <w:caps w:val="0"/>
          <w:spacing w:val="2"/>
          <w:sz w:val="32"/>
          <w:szCs w:val="32"/>
          <w:shd w:val="clear" w:fill="FFFFFF"/>
          <w:lang w:eastAsia="zh-CN"/>
        </w:rPr>
        <w:t>%。</w:t>
      </w:r>
      <w:r>
        <w:rPr>
          <w:rStyle w:val="5"/>
          <w:rFonts w:hint="eastAsia" w:ascii="仿宋_GB2312" w:hAnsi="仿宋_GB2312" w:eastAsia="仿宋_GB2312" w:cs="仿宋_GB2312"/>
          <w:b/>
          <w:bCs/>
          <w:i w:val="0"/>
          <w:iCs w:val="0"/>
          <w:caps w:val="0"/>
          <w:spacing w:val="2"/>
          <w:sz w:val="32"/>
          <w:szCs w:val="32"/>
          <w:shd w:val="clear" w:fill="FFFFFF"/>
          <w:lang w:eastAsia="zh-CN"/>
        </w:rPr>
        <w:t>二是非遗文化赋能经济发展</w:t>
      </w:r>
      <w:r>
        <w:rPr>
          <w:rFonts w:hint="eastAsia" w:ascii="仿宋_GB2312" w:hAnsi="仿宋_GB2312" w:eastAsia="仿宋_GB2312" w:cs="仿宋_GB2312"/>
          <w:i w:val="0"/>
          <w:iCs w:val="0"/>
          <w:caps w:val="0"/>
          <w:spacing w:val="2"/>
          <w:sz w:val="32"/>
          <w:szCs w:val="32"/>
          <w:shd w:val="clear" w:fill="FFFFFF"/>
          <w:lang w:eastAsia="zh-CN"/>
        </w:rPr>
        <w:t>。</w:t>
      </w:r>
      <w:r>
        <w:rPr>
          <w:rFonts w:hint="eastAsia" w:ascii="仿宋_GB2312" w:hAnsi="仿宋_GB2312" w:eastAsia="仿宋_GB2312" w:cs="仿宋_GB2312"/>
          <w:i w:val="0"/>
          <w:iCs w:val="0"/>
          <w:caps w:val="0"/>
          <w:spacing w:val="2"/>
          <w:sz w:val="32"/>
          <w:szCs w:val="32"/>
          <w:shd w:val="clear" w:fill="FFFFFF"/>
        </w:rPr>
        <w:t>在非遗文化与经济融合发展领域，</w:t>
      </w:r>
      <w:r>
        <w:rPr>
          <w:rFonts w:hint="eastAsia" w:ascii="仿宋_GB2312" w:hAnsi="仿宋_GB2312" w:eastAsia="仿宋_GB2312" w:cs="仿宋_GB2312"/>
          <w:i w:val="0"/>
          <w:iCs w:val="0"/>
          <w:caps w:val="0"/>
          <w:spacing w:val="2"/>
          <w:sz w:val="32"/>
          <w:szCs w:val="32"/>
          <w:shd w:val="clear" w:fill="FFFFFF"/>
          <w:lang w:eastAsia="zh-CN"/>
        </w:rPr>
        <w:t>“</w:t>
      </w:r>
      <w:r>
        <w:rPr>
          <w:rFonts w:hint="eastAsia" w:ascii="仿宋_GB2312" w:hAnsi="仿宋_GB2312" w:eastAsia="仿宋_GB2312" w:cs="仿宋_GB2312"/>
          <w:i w:val="0"/>
          <w:iCs w:val="0"/>
          <w:caps w:val="0"/>
          <w:spacing w:val="2"/>
          <w:sz w:val="32"/>
          <w:szCs w:val="32"/>
          <w:shd w:val="clear" w:fill="FFFFFF"/>
        </w:rPr>
        <w:t>西岸赛龙舟</w:t>
      </w:r>
      <w:r>
        <w:rPr>
          <w:rFonts w:hint="eastAsia" w:ascii="仿宋_GB2312" w:hAnsi="仿宋_GB2312" w:eastAsia="仿宋_GB2312" w:cs="仿宋_GB2312"/>
          <w:i w:val="0"/>
          <w:iCs w:val="0"/>
          <w:caps w:val="0"/>
          <w:spacing w:val="2"/>
          <w:sz w:val="32"/>
          <w:szCs w:val="32"/>
          <w:shd w:val="clear" w:fill="FFFFFF"/>
          <w:lang w:eastAsia="zh-CN"/>
        </w:rPr>
        <w:t>”</w:t>
      </w:r>
      <w:r>
        <w:rPr>
          <w:rFonts w:hint="eastAsia" w:ascii="仿宋_GB2312" w:hAnsi="仿宋_GB2312" w:eastAsia="仿宋_GB2312" w:cs="仿宋_GB2312"/>
          <w:i w:val="0"/>
          <w:iCs w:val="0"/>
          <w:caps w:val="0"/>
          <w:spacing w:val="2"/>
          <w:sz w:val="32"/>
          <w:szCs w:val="32"/>
          <w:shd w:val="clear" w:fill="FFFFFF"/>
        </w:rPr>
        <w:t>成功入选市级非物质文化遗产名录。以此为契机，积极开展</w:t>
      </w:r>
      <w:r>
        <w:rPr>
          <w:rFonts w:hint="eastAsia" w:ascii="仿宋_GB2312" w:hAnsi="仿宋_GB2312" w:eastAsia="仿宋_GB2312" w:cs="仿宋_GB2312"/>
          <w:i w:val="0"/>
          <w:iCs w:val="0"/>
          <w:caps w:val="0"/>
          <w:spacing w:val="2"/>
          <w:sz w:val="32"/>
          <w:szCs w:val="32"/>
          <w:shd w:val="clear" w:fill="FFFFFF"/>
          <w:lang w:eastAsia="zh-CN"/>
        </w:rPr>
        <w:t>“</w:t>
      </w:r>
      <w:r>
        <w:rPr>
          <w:rFonts w:hint="eastAsia" w:ascii="仿宋_GB2312" w:hAnsi="仿宋_GB2312" w:eastAsia="仿宋_GB2312" w:cs="仿宋_GB2312"/>
          <w:i w:val="0"/>
          <w:iCs w:val="0"/>
          <w:caps w:val="0"/>
          <w:spacing w:val="2"/>
          <w:sz w:val="32"/>
          <w:szCs w:val="32"/>
          <w:shd w:val="clear" w:fill="FFFFFF"/>
        </w:rPr>
        <w:t>舞马鹿</w:t>
      </w:r>
      <w:r>
        <w:rPr>
          <w:rFonts w:hint="eastAsia" w:ascii="仿宋_GB2312" w:hAnsi="仿宋_GB2312" w:eastAsia="仿宋_GB2312" w:cs="仿宋_GB2312"/>
          <w:i w:val="0"/>
          <w:iCs w:val="0"/>
          <w:caps w:val="0"/>
          <w:spacing w:val="2"/>
          <w:sz w:val="32"/>
          <w:szCs w:val="32"/>
          <w:shd w:val="clear" w:fill="FFFFFF"/>
          <w:lang w:eastAsia="zh-CN"/>
        </w:rPr>
        <w:t>”“</w:t>
      </w:r>
      <w:r>
        <w:rPr>
          <w:rFonts w:hint="eastAsia" w:ascii="仿宋_GB2312" w:hAnsi="仿宋_GB2312" w:eastAsia="仿宋_GB2312" w:cs="仿宋_GB2312"/>
          <w:i w:val="0"/>
          <w:iCs w:val="0"/>
          <w:caps w:val="0"/>
          <w:spacing w:val="2"/>
          <w:sz w:val="32"/>
          <w:szCs w:val="32"/>
          <w:shd w:val="clear" w:fill="FFFFFF"/>
        </w:rPr>
        <w:t>筒子八音</w:t>
      </w:r>
      <w:r>
        <w:rPr>
          <w:rFonts w:hint="eastAsia" w:ascii="仿宋_GB2312" w:hAnsi="仿宋_GB2312" w:eastAsia="仿宋_GB2312" w:cs="仿宋_GB2312"/>
          <w:i w:val="0"/>
          <w:iCs w:val="0"/>
          <w:caps w:val="0"/>
          <w:spacing w:val="2"/>
          <w:sz w:val="32"/>
          <w:szCs w:val="32"/>
          <w:shd w:val="clear" w:fill="FFFFFF"/>
          <w:lang w:eastAsia="zh-CN"/>
        </w:rPr>
        <w:t>”</w:t>
      </w:r>
      <w:r>
        <w:rPr>
          <w:rFonts w:hint="eastAsia" w:ascii="仿宋_GB2312" w:hAnsi="仿宋_GB2312" w:eastAsia="仿宋_GB2312" w:cs="仿宋_GB2312"/>
          <w:i w:val="0"/>
          <w:iCs w:val="0"/>
          <w:caps w:val="0"/>
          <w:spacing w:val="2"/>
          <w:sz w:val="32"/>
          <w:szCs w:val="32"/>
          <w:shd w:val="clear" w:fill="FFFFFF"/>
        </w:rPr>
        <w:t>等15场非遗巡演和民俗展演活动，深度挖掘进士文化内涵，打造</w:t>
      </w:r>
      <w:r>
        <w:rPr>
          <w:rFonts w:hint="eastAsia" w:ascii="仿宋_GB2312" w:hAnsi="仿宋_GB2312" w:eastAsia="仿宋_GB2312" w:cs="仿宋_GB2312"/>
          <w:i w:val="0"/>
          <w:iCs w:val="0"/>
          <w:caps w:val="0"/>
          <w:spacing w:val="2"/>
          <w:sz w:val="32"/>
          <w:szCs w:val="32"/>
          <w:shd w:val="clear" w:fill="FFFFFF"/>
          <w:lang w:eastAsia="zh-CN"/>
        </w:rPr>
        <w:t>“</w:t>
      </w:r>
      <w:r>
        <w:rPr>
          <w:rFonts w:hint="eastAsia" w:ascii="仿宋_GB2312" w:hAnsi="仿宋_GB2312" w:eastAsia="仿宋_GB2312" w:cs="仿宋_GB2312"/>
          <w:i w:val="0"/>
          <w:iCs w:val="0"/>
          <w:caps w:val="0"/>
          <w:spacing w:val="2"/>
          <w:sz w:val="32"/>
          <w:szCs w:val="32"/>
          <w:shd w:val="clear" w:fill="FFFFFF"/>
        </w:rPr>
        <w:t>鹿吉</w:t>
      </w:r>
      <w:r>
        <w:rPr>
          <w:rFonts w:hint="eastAsia" w:ascii="仿宋_GB2312" w:hAnsi="仿宋_GB2312" w:eastAsia="仿宋_GB2312" w:cs="仿宋_GB2312"/>
          <w:i w:val="0"/>
          <w:iCs w:val="0"/>
          <w:caps w:val="0"/>
          <w:spacing w:val="2"/>
          <w:sz w:val="32"/>
          <w:szCs w:val="32"/>
          <w:shd w:val="clear" w:fill="FFFFFF"/>
          <w:lang w:eastAsia="zh-CN"/>
        </w:rPr>
        <w:t>”</w:t>
      </w:r>
      <w:r>
        <w:rPr>
          <w:rFonts w:hint="eastAsia" w:ascii="仿宋_GB2312" w:hAnsi="仿宋_GB2312" w:eastAsia="仿宋_GB2312" w:cs="仿宋_GB2312"/>
          <w:i w:val="0"/>
          <w:iCs w:val="0"/>
          <w:caps w:val="0"/>
          <w:spacing w:val="2"/>
          <w:sz w:val="32"/>
          <w:szCs w:val="32"/>
          <w:shd w:val="clear" w:fill="FFFFFF"/>
        </w:rPr>
        <w:t>等文化形象IP，以文化魅力吸引游客6万余人次。</w:t>
      </w:r>
      <w:r>
        <w:rPr>
          <w:rStyle w:val="5"/>
          <w:rFonts w:hint="eastAsia" w:ascii="仿宋_GB2312" w:hAnsi="仿宋_GB2312" w:eastAsia="仿宋_GB2312" w:cs="仿宋_GB2312"/>
          <w:b/>
          <w:bCs/>
          <w:i w:val="0"/>
          <w:iCs w:val="0"/>
          <w:caps w:val="0"/>
          <w:spacing w:val="2"/>
          <w:sz w:val="32"/>
          <w:szCs w:val="32"/>
          <w:shd w:val="clear" w:fill="FFFFFF"/>
          <w:lang w:val="en-US" w:eastAsia="zh-CN"/>
        </w:rPr>
        <w:t>三是赛事流量撬动文旅消费。</w:t>
      </w:r>
      <w:r>
        <w:rPr>
          <w:rFonts w:hint="eastAsia" w:ascii="仿宋_GB2312" w:hAnsi="仿宋_GB2312" w:eastAsia="仿宋_GB2312" w:cs="仿宋_GB2312"/>
          <w:i w:val="0"/>
          <w:iCs w:val="0"/>
          <w:caps w:val="0"/>
          <w:spacing w:val="2"/>
          <w:sz w:val="32"/>
          <w:szCs w:val="32"/>
          <w:shd w:val="clear" w:fill="FFFFFF"/>
          <w:lang w:val="en-US" w:eastAsia="zh-CN"/>
        </w:rPr>
        <w:t>西岸镇以体育赛事为引擎，积极探索“体育+文旅”融合发展路径。通过举办龙舟赛、村“ba”篮球赛、“乡村大力王”拔河争霸赛等体育赛事，为文旅产业注入鲜活动力。龙舟赛结合特色龙舟文化集市，吸引游客约1万人次；举办村“ba”篮球赛共计30场赛事，有力带动周边消费升级；首办“乡村大力王”拔河争霸赛，现场直播累计吸引观众约2000人次。</w:t>
      </w:r>
    </w:p>
    <w:p w14:paraId="3FEB4E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镇村</w:t>
      </w:r>
      <w:r>
        <w:rPr>
          <w:rFonts w:hint="eastAsia" w:ascii="楷体_GB2312" w:hAnsi="楷体_GB2312" w:eastAsia="楷体_GB2312" w:cs="楷体_GB2312"/>
          <w:b/>
          <w:bCs/>
          <w:sz w:val="32"/>
          <w:szCs w:val="32"/>
        </w:rPr>
        <w:t>面貌焕然一新</w:t>
      </w:r>
    </w:p>
    <w:p w14:paraId="4D63D557">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51" w:firstLineChars="200"/>
        <w:textAlignment w:val="auto"/>
        <w:rPr>
          <w:rFonts w:hint="eastAsia" w:ascii="仿宋_GB2312" w:hAnsi="仿宋_GB2312" w:eastAsia="仿宋_GB2312" w:cs="仿宋_GB2312"/>
          <w:i w:val="0"/>
          <w:iCs w:val="0"/>
          <w:caps w:val="0"/>
          <w:color w:val="000000" w:themeColor="text1"/>
          <w:spacing w:val="2"/>
          <w:sz w:val="32"/>
          <w:szCs w:val="32"/>
          <w:shd w:val="clear" w:fill="FFFFFF"/>
          <w:lang w:eastAsia="zh-CN"/>
          <w14:textFill>
            <w14:solidFill>
              <w14:schemeClr w14:val="tx1"/>
            </w14:solidFill>
          </w14:textFill>
        </w:rPr>
      </w:pPr>
      <w:r>
        <w:rPr>
          <w:rStyle w:val="5"/>
          <w:rFonts w:hint="eastAsia" w:ascii="仿宋_GB2312" w:hAnsi="仿宋_GB2312" w:eastAsia="仿宋_GB2312" w:cs="仿宋_GB2312"/>
          <w:b/>
          <w:bCs/>
          <w:i w:val="0"/>
          <w:iCs w:val="0"/>
          <w:caps w:val="0"/>
          <w:spacing w:val="2"/>
          <w:sz w:val="32"/>
          <w:szCs w:val="32"/>
          <w:shd w:val="clear" w:fill="FFFFFF"/>
          <w:lang w:eastAsia="zh-CN"/>
        </w:rPr>
        <w:t>一是示范带动作用</w:t>
      </w:r>
      <w:r>
        <w:rPr>
          <w:rStyle w:val="5"/>
          <w:rFonts w:hint="eastAsia" w:ascii="仿宋_GB2312" w:hAnsi="仿宋_GB2312" w:eastAsia="仿宋_GB2312" w:cs="仿宋_GB2312"/>
          <w:b/>
          <w:bCs/>
          <w:i w:val="0"/>
          <w:iCs w:val="0"/>
          <w:caps w:val="0"/>
          <w:spacing w:val="2"/>
          <w:sz w:val="32"/>
          <w:szCs w:val="32"/>
          <w:shd w:val="clear" w:fill="FFFFFF"/>
          <w:lang w:val="en-US" w:eastAsia="zh-CN"/>
        </w:rPr>
        <w:t>持续增强</w:t>
      </w:r>
      <w:r>
        <w:rPr>
          <w:rStyle w:val="5"/>
          <w:rFonts w:hint="eastAsia" w:ascii="仿宋_GB2312" w:hAnsi="仿宋_GB2312" w:eastAsia="仿宋_GB2312" w:cs="仿宋_GB2312"/>
          <w:b/>
          <w:bCs/>
          <w:i w:val="0"/>
          <w:iCs w:val="0"/>
          <w:caps w:val="0"/>
          <w:spacing w:val="2"/>
          <w:sz w:val="32"/>
          <w:szCs w:val="32"/>
          <w:shd w:val="clear" w:fill="FFFFFF"/>
          <w:lang w:eastAsia="zh-CN"/>
        </w:rPr>
        <w:t>。</w:t>
      </w:r>
      <w:r>
        <w:rPr>
          <w:rFonts w:hint="eastAsia" w:ascii="仿宋_GB2312" w:hAnsi="仿宋_GB2312" w:eastAsia="仿宋_GB2312" w:cs="仿宋_GB2312"/>
          <w:i w:val="0"/>
          <w:iCs w:val="0"/>
          <w:caps w:val="0"/>
          <w:color w:val="000000" w:themeColor="text1"/>
          <w:spacing w:val="2"/>
          <w:sz w:val="32"/>
          <w:szCs w:val="32"/>
          <w:shd w:val="clear" w:fill="FFFFFF"/>
          <w:lang w:eastAsia="zh-CN"/>
          <w14:textFill>
            <w14:solidFill>
              <w14:schemeClr w14:val="tx1"/>
            </w14:solidFill>
          </w14:textFill>
        </w:rPr>
        <w:t>通过利用示范带建设专项资金和美丽乡村专项资金共约</w:t>
      </w:r>
      <w:r>
        <w:rPr>
          <w:rFonts w:hint="eastAsia" w:ascii="仿宋_GB2312" w:hAnsi="仿宋_GB2312" w:eastAsia="仿宋_GB2312" w:cs="仿宋_GB2312"/>
          <w:i w:val="0"/>
          <w:iCs w:val="0"/>
          <w:caps w:val="0"/>
          <w:color w:val="000000" w:themeColor="text1"/>
          <w:spacing w:val="2"/>
          <w:sz w:val="32"/>
          <w:szCs w:val="32"/>
          <w:shd w:val="clear" w:fill="FFFFFF"/>
          <w:lang w:val="en-US" w:eastAsia="zh-CN"/>
          <w14:textFill>
            <w14:solidFill>
              <w14:schemeClr w14:val="tx1"/>
            </w14:solidFill>
          </w14:textFill>
        </w:rPr>
        <w:t>5000万</w:t>
      </w:r>
      <w:r>
        <w:rPr>
          <w:rFonts w:hint="eastAsia" w:ascii="仿宋_GB2312" w:hAnsi="仿宋_GB2312" w:eastAsia="仿宋_GB2312" w:cs="仿宋_GB2312"/>
          <w:i w:val="0"/>
          <w:iCs w:val="0"/>
          <w:caps w:val="0"/>
          <w:color w:val="000000" w:themeColor="text1"/>
          <w:spacing w:val="2"/>
          <w:sz w:val="32"/>
          <w:szCs w:val="32"/>
          <w:shd w:val="clear" w:fill="FFFFFF"/>
          <w:lang w:eastAsia="zh-CN"/>
          <w14:textFill>
            <w14:solidFill>
              <w14:schemeClr w14:val="tx1"/>
            </w14:solidFill>
          </w14:textFill>
        </w:rPr>
        <w:t>元，完成13个美丽乡村“特色村”建设，</w:t>
      </w:r>
      <w:r>
        <w:rPr>
          <w:rFonts w:hint="eastAsia" w:ascii="仿宋_GB2312" w:hAnsi="仿宋_GB2312" w:eastAsia="仿宋_GB2312" w:cs="仿宋_GB2312"/>
          <w:i w:val="0"/>
          <w:iCs w:val="0"/>
          <w:caps w:val="0"/>
          <w:color w:val="000000" w:themeColor="text1"/>
          <w:spacing w:val="2"/>
          <w:sz w:val="32"/>
          <w:szCs w:val="32"/>
          <w:shd w:val="clear" w:fill="FFFFFF"/>
          <w:lang w:val="en-US" w:eastAsia="zh-CN"/>
          <w14:textFill>
            <w14:solidFill>
              <w14:schemeClr w14:val="tx1"/>
            </w14:solidFill>
          </w14:textFill>
        </w:rPr>
        <w:t>打造</w:t>
      </w:r>
      <w:r>
        <w:rPr>
          <w:rFonts w:hint="eastAsia" w:ascii="仿宋_GB2312" w:hAnsi="仿宋_GB2312" w:eastAsia="仿宋_GB2312" w:cs="仿宋_GB2312"/>
          <w:i w:val="0"/>
          <w:iCs w:val="0"/>
          <w:caps w:val="0"/>
          <w:color w:val="000000" w:themeColor="text1"/>
          <w:spacing w:val="2"/>
          <w:sz w:val="32"/>
          <w:szCs w:val="32"/>
          <w:shd w:val="clear" w:fill="FFFFFF"/>
          <w:lang w:eastAsia="zh-CN"/>
          <w14:textFill>
            <w14:solidFill>
              <w14:schemeClr w14:val="tx1"/>
            </w14:solidFill>
          </w14:textFill>
        </w:rPr>
        <w:t>示范带</w:t>
      </w:r>
      <w:r>
        <w:rPr>
          <w:rFonts w:hint="eastAsia" w:ascii="仿宋_GB2312" w:hAnsi="仿宋_GB2312" w:eastAsia="仿宋_GB2312" w:cs="仿宋_GB2312"/>
          <w:i w:val="0"/>
          <w:iCs w:val="0"/>
          <w:caps w:val="0"/>
          <w:color w:val="000000" w:themeColor="text1"/>
          <w:spacing w:val="2"/>
          <w:sz w:val="32"/>
          <w:szCs w:val="32"/>
          <w:shd w:val="clear" w:fill="FFFFFF"/>
          <w:lang w:val="en-US" w:eastAsia="zh-CN"/>
          <w14:textFill>
            <w14:solidFill>
              <w14:schemeClr w14:val="tx1"/>
            </w14:solidFill>
          </w14:textFill>
        </w:rPr>
        <w:t>10</w:t>
      </w:r>
      <w:r>
        <w:rPr>
          <w:rFonts w:hint="eastAsia" w:ascii="仿宋_GB2312" w:hAnsi="仿宋_GB2312" w:eastAsia="仿宋_GB2312" w:cs="仿宋_GB2312"/>
          <w:i w:val="0"/>
          <w:iCs w:val="0"/>
          <w:caps w:val="0"/>
          <w:color w:val="000000" w:themeColor="text1"/>
          <w:spacing w:val="2"/>
          <w:sz w:val="32"/>
          <w:szCs w:val="32"/>
          <w:shd w:val="clear" w:fill="FFFFFF"/>
          <w:lang w:eastAsia="zh-CN"/>
          <w14:textFill>
            <w14:solidFill>
              <w14:schemeClr w14:val="tx1"/>
            </w14:solidFill>
          </w14:textFill>
        </w:rPr>
        <w:t>公里。</w:t>
      </w:r>
      <w:r>
        <w:rPr>
          <w:rFonts w:hint="eastAsia" w:ascii="仿宋_GB2312" w:hAnsi="仿宋_GB2312" w:eastAsia="仿宋_GB2312" w:cs="仿宋_GB2312"/>
          <w:i w:val="0"/>
          <w:iCs w:val="0"/>
          <w:caps w:val="0"/>
          <w:color w:val="000000" w:themeColor="text1"/>
          <w:spacing w:val="2"/>
          <w:sz w:val="32"/>
          <w:szCs w:val="32"/>
          <w:shd w:val="clear" w:fill="FFFFFF"/>
          <w:lang w:val="en-US" w:eastAsia="zh-CN"/>
          <w14:textFill>
            <w14:solidFill>
              <w14:schemeClr w14:val="tx1"/>
            </w14:solidFill>
          </w14:textFill>
        </w:rPr>
        <w:t>利用专项</w:t>
      </w:r>
      <w:r>
        <w:rPr>
          <w:rFonts w:hint="eastAsia" w:ascii="仿宋_GB2312" w:hAnsi="仿宋_GB2312" w:eastAsia="仿宋_GB2312" w:cs="仿宋_GB2312"/>
          <w:i w:val="0"/>
          <w:iCs w:val="0"/>
          <w:caps w:val="0"/>
          <w:color w:val="000000" w:themeColor="text1"/>
          <w:spacing w:val="2"/>
          <w:sz w:val="32"/>
          <w:szCs w:val="32"/>
          <w:shd w:val="clear" w:fill="FFFFFF"/>
          <w:lang w:eastAsia="zh-CN"/>
          <w14:textFill>
            <w14:solidFill>
              <w14:schemeClr w14:val="tx1"/>
            </w14:solidFill>
          </w14:textFill>
        </w:rPr>
        <w:t>资金</w:t>
      </w:r>
      <w:r>
        <w:rPr>
          <w:rFonts w:hint="eastAsia" w:ascii="仿宋_GB2312" w:hAnsi="仿宋_GB2312" w:eastAsia="仿宋_GB2312" w:cs="仿宋_GB2312"/>
          <w:i w:val="0"/>
          <w:iCs w:val="0"/>
          <w:caps w:val="0"/>
          <w:color w:val="000000" w:themeColor="text1"/>
          <w:spacing w:val="2"/>
          <w:sz w:val="32"/>
          <w:szCs w:val="32"/>
          <w:shd w:val="clear" w:fill="FFFFFF"/>
          <w:lang w:val="en-US" w:eastAsia="zh-CN"/>
          <w14:textFill>
            <w14:solidFill>
              <w14:schemeClr w14:val="tx1"/>
            </w14:solidFill>
          </w14:textFill>
        </w:rPr>
        <w:t>8616</w:t>
      </w:r>
      <w:r>
        <w:rPr>
          <w:rFonts w:hint="eastAsia" w:ascii="仿宋_GB2312" w:hAnsi="仿宋_GB2312" w:eastAsia="仿宋_GB2312" w:cs="仿宋_GB2312"/>
          <w:i w:val="0"/>
          <w:iCs w:val="0"/>
          <w:caps w:val="0"/>
          <w:color w:val="000000" w:themeColor="text1"/>
          <w:spacing w:val="2"/>
          <w:sz w:val="32"/>
          <w:szCs w:val="32"/>
          <w:shd w:val="clear" w:fill="FFFFFF"/>
          <w:lang w:eastAsia="zh-CN"/>
          <w14:textFill>
            <w14:solidFill>
              <w14:schemeClr w14:val="tx1"/>
            </w14:solidFill>
          </w14:textFill>
        </w:rPr>
        <w:t>万元，</w:t>
      </w:r>
      <w:r>
        <w:rPr>
          <w:rFonts w:hint="eastAsia" w:ascii="仿宋_GB2312" w:hAnsi="仿宋_GB2312" w:eastAsia="仿宋_GB2312" w:cs="仿宋_GB2312"/>
          <w:i w:val="0"/>
          <w:iCs w:val="0"/>
          <w:caps w:val="0"/>
          <w:color w:val="auto"/>
          <w:spacing w:val="2"/>
          <w:sz w:val="32"/>
          <w:szCs w:val="32"/>
          <w:shd w:val="clear" w:fill="FFFFFF"/>
          <w:lang w:val="en-US" w:eastAsia="zh-CN"/>
        </w:rPr>
        <w:t>完成一镇七村</w:t>
      </w:r>
      <w:r>
        <w:rPr>
          <w:rFonts w:hint="eastAsia" w:ascii="仿宋_GB2312" w:hAnsi="仿宋_GB2312" w:eastAsia="仿宋_GB2312" w:cs="仿宋_GB2312"/>
          <w:i w:val="0"/>
          <w:iCs w:val="0"/>
          <w:caps w:val="0"/>
          <w:color w:val="auto"/>
          <w:spacing w:val="2"/>
          <w:sz w:val="32"/>
          <w:szCs w:val="32"/>
          <w:shd w:val="clear" w:fill="FFFFFF"/>
          <w:lang w:eastAsia="zh-CN"/>
        </w:rPr>
        <w:t>典型培育</w:t>
      </w:r>
      <w:r>
        <w:rPr>
          <w:rFonts w:hint="eastAsia" w:ascii="仿宋_GB2312" w:hAnsi="仿宋_GB2312" w:eastAsia="仿宋_GB2312" w:cs="仿宋_GB2312"/>
          <w:i w:val="0"/>
          <w:iCs w:val="0"/>
          <w:caps w:val="0"/>
          <w:color w:val="000000" w:themeColor="text1"/>
          <w:spacing w:val="2"/>
          <w:sz w:val="32"/>
          <w:szCs w:val="32"/>
          <w:shd w:val="clear" w:fill="FFFFFF"/>
          <w:lang w:eastAsia="zh-CN"/>
          <w14:textFill>
            <w14:solidFill>
              <w14:schemeClr w14:val="tx1"/>
            </w14:solidFill>
          </w14:textFill>
        </w:rPr>
        <w:t>。</w:t>
      </w:r>
      <w:r>
        <w:rPr>
          <w:rFonts w:hint="eastAsia" w:ascii="仿宋_GB2312" w:hAnsi="仿宋_GB2312" w:eastAsia="仿宋_GB2312" w:cs="仿宋_GB2312"/>
          <w:b/>
          <w:bCs/>
          <w:i w:val="0"/>
          <w:iCs w:val="0"/>
          <w:caps w:val="0"/>
          <w:spacing w:val="2"/>
          <w:sz w:val="32"/>
          <w:szCs w:val="32"/>
          <w:shd w:val="clear" w:fill="FFFFFF"/>
          <w:lang w:val="en-US" w:eastAsia="zh-CN"/>
        </w:rPr>
        <w:t>二</w:t>
      </w:r>
      <w:r>
        <w:rPr>
          <w:rFonts w:hint="eastAsia" w:ascii="仿宋_GB2312" w:hAnsi="仿宋_GB2312" w:eastAsia="仿宋_GB2312" w:cs="仿宋_GB2312"/>
          <w:b/>
          <w:bCs/>
          <w:i w:val="0"/>
          <w:iCs w:val="0"/>
          <w:caps w:val="0"/>
          <w:spacing w:val="2"/>
          <w:sz w:val="32"/>
          <w:szCs w:val="32"/>
          <w:shd w:val="clear" w:fill="FFFFFF"/>
          <w:lang w:eastAsia="zh-CN"/>
        </w:rPr>
        <w:t>是共商共建共享机制不断优化。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广泛调动群众积极性，创新“三七奖补”“群众出材料、政府帮施工”的农房风貌改造提升模式，筹集群众资金约1000余万，改造外立面600余栋。</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通过群众筹资筹劳，建成东村“齐心路”，打破“干部干、群众看”的僵局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22FC41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）社会治理效能</w:t>
      </w:r>
      <w:r>
        <w:rPr>
          <w:rFonts w:hint="eastAsia" w:ascii="楷体_GB2312" w:hAnsi="楷体_GB2312" w:eastAsia="楷体_GB2312" w:cs="楷体_GB2312"/>
          <w:b/>
          <w:bCs/>
          <w:sz w:val="32"/>
          <w:szCs w:val="32"/>
          <w:lang w:val="en-US" w:eastAsia="zh-CN"/>
        </w:rPr>
        <w:t>跃升</w:t>
      </w:r>
    </w:p>
    <w:p w14:paraId="2CB2F6A3">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51" w:firstLineChars="200"/>
        <w:textAlignment w:val="auto"/>
        <w:rPr>
          <w:rFonts w:hint="eastAsia" w:ascii="仿宋_GB2312" w:hAnsi="仿宋_GB2312" w:eastAsia="仿宋_GB2312" w:cs="仿宋_GB2312"/>
          <w:color w:val="C00000"/>
          <w:sz w:val="32"/>
          <w:szCs w:val="32"/>
          <w:lang w:val="en-US" w:eastAsia="zh-CN"/>
        </w:rPr>
      </w:pPr>
      <w:r>
        <w:rPr>
          <w:rStyle w:val="5"/>
          <w:rFonts w:hint="eastAsia" w:ascii="仿宋_GB2312" w:hAnsi="仿宋_GB2312" w:eastAsia="仿宋_GB2312" w:cs="仿宋_GB2312"/>
          <w:b/>
          <w:bCs/>
          <w:i w:val="0"/>
          <w:iCs w:val="0"/>
          <w:caps w:val="0"/>
          <w:spacing w:val="2"/>
          <w:sz w:val="32"/>
          <w:szCs w:val="32"/>
          <w:shd w:val="clear" w:fill="FFFFFF"/>
          <w:lang w:eastAsia="zh-CN"/>
        </w:rPr>
        <w:t>一是</w:t>
      </w:r>
      <w:r>
        <w:rPr>
          <w:rStyle w:val="5"/>
          <w:rFonts w:hint="eastAsia" w:ascii="仿宋_GB2312" w:hAnsi="仿宋_GB2312" w:eastAsia="仿宋_GB2312" w:cs="仿宋_GB2312"/>
          <w:b/>
          <w:bCs/>
          <w:i w:val="0"/>
          <w:iCs w:val="0"/>
          <w:caps w:val="0"/>
          <w:spacing w:val="2"/>
          <w:sz w:val="32"/>
          <w:szCs w:val="32"/>
          <w:shd w:val="clear" w:fill="FFFFFF"/>
        </w:rPr>
        <w:t>平安法治建设扎实推进</w:t>
      </w:r>
      <w:r>
        <w:rPr>
          <w:rStyle w:val="5"/>
          <w:rFonts w:hint="eastAsia" w:ascii="仿宋_GB2312" w:hAnsi="仿宋_GB2312" w:eastAsia="仿宋_GB2312" w:cs="仿宋_GB2312"/>
          <w:b/>
          <w:bCs/>
          <w:i w:val="0"/>
          <w:iCs w:val="0"/>
          <w:caps w:val="0"/>
          <w:spacing w:val="2"/>
          <w:sz w:val="32"/>
          <w:szCs w:val="32"/>
          <w:shd w:val="clear" w:fill="FFFFFF"/>
          <w:lang w:eastAsia="zh-CN"/>
        </w:rPr>
        <w:t>。</w:t>
      </w:r>
      <w:r>
        <w:rPr>
          <w:rFonts w:hint="eastAsia" w:ascii="仿宋_GB2312" w:hAnsi="仿宋_GB2312" w:eastAsia="仿宋_GB2312" w:cs="仿宋_GB2312"/>
          <w:i w:val="0"/>
          <w:iCs w:val="0"/>
          <w:caps w:val="0"/>
          <w:spacing w:val="2"/>
          <w:sz w:val="32"/>
          <w:szCs w:val="32"/>
          <w:shd w:val="clear" w:fill="FFFFFF"/>
          <w:lang w:eastAsia="zh-CN"/>
        </w:rPr>
        <w:t>完成综治中心、综合行政执法建设，</w:t>
      </w:r>
      <w:r>
        <w:rPr>
          <w:rFonts w:hint="eastAsia" w:ascii="仿宋_GB2312" w:hAnsi="仿宋_GB2312" w:eastAsia="仿宋_GB2312" w:cs="仿宋_GB2312"/>
          <w:sz w:val="32"/>
          <w:szCs w:val="32"/>
          <w:lang w:val="en-US" w:eastAsia="zh-CN"/>
        </w:rPr>
        <w:t>社会治安水平明显提升</w:t>
      </w:r>
      <w:r>
        <w:rPr>
          <w:rFonts w:hint="eastAsia" w:ascii="仿宋_GB2312" w:hAnsi="仿宋_GB2312" w:eastAsia="仿宋_GB2312" w:cs="仿宋_GB2312"/>
          <w:i w:val="0"/>
          <w:iCs w:val="0"/>
          <w:caps w:val="0"/>
          <w:spacing w:val="2"/>
          <w:sz w:val="32"/>
          <w:szCs w:val="32"/>
          <w:shd w:val="clear" w:fill="FFFFFF"/>
          <w:lang w:eastAsia="zh-CN"/>
        </w:rPr>
        <w:t>。</w:t>
      </w:r>
      <w:r>
        <w:rPr>
          <w:rFonts w:hint="eastAsia" w:ascii="仿宋_GB2312" w:hAnsi="仿宋_GB2312" w:eastAsia="仿宋_GB2312" w:cs="仿宋_GB2312"/>
          <w:sz w:val="32"/>
          <w:szCs w:val="32"/>
          <w:lang w:val="en-US" w:eastAsia="zh-CN"/>
        </w:rPr>
        <w:t>2021年以来，处警数量下降19%，刑事治安警情数量下降42%，交通事故数量下降12.8%。维护社会稳定发展水平不断提升；二是基层治理效能不断增强。2021年至今，调解矛盾纠纷332起，成功率94.6%；</w:t>
      </w:r>
      <w:r>
        <w:rPr>
          <w:rFonts w:hint="eastAsia" w:ascii="仿宋_GB2312" w:hAnsi="仿宋_GB2312" w:eastAsia="仿宋_GB2312" w:cs="仿宋_GB2312"/>
          <w:color w:val="auto"/>
          <w:sz w:val="32"/>
          <w:szCs w:val="32"/>
          <w:lang w:val="en-US" w:eastAsia="zh-CN"/>
        </w:rPr>
        <w:t>开展执法检查70次，拆除违建8栋，移交刑事案件12宗。严打非法销售生猪行为，不断加强食安隐患整改。建成55个村级污水设施，水质达标率100%；</w:t>
      </w:r>
      <w:r>
        <w:rPr>
          <w:rFonts w:hint="eastAsia" w:ascii="仿宋_GB2312" w:hAnsi="仿宋_GB2312" w:eastAsia="仿宋_GB2312" w:cs="仿宋_GB2312"/>
          <w:i w:val="0"/>
          <w:iCs w:val="0"/>
          <w:caps w:val="0"/>
          <w:color w:val="auto"/>
          <w:spacing w:val="2"/>
          <w:sz w:val="32"/>
          <w:szCs w:val="32"/>
          <w:shd w:val="clear" w:fill="FFFFFF"/>
          <w:lang w:eastAsia="zh-CN"/>
        </w:rPr>
        <w:t>整治</w:t>
      </w:r>
      <w:r>
        <w:rPr>
          <w:rFonts w:hint="eastAsia" w:ascii="仿宋_GB2312" w:hAnsi="仿宋_GB2312" w:eastAsia="仿宋_GB2312" w:cs="仿宋_GB2312"/>
          <w:i w:val="0"/>
          <w:iCs w:val="0"/>
          <w:caps w:val="0"/>
          <w:color w:val="auto"/>
          <w:spacing w:val="2"/>
          <w:sz w:val="32"/>
          <w:szCs w:val="32"/>
          <w:shd w:val="clear" w:fill="FFFFFF"/>
          <w:lang w:val="en-US" w:eastAsia="zh-CN"/>
        </w:rPr>
        <w:t>5</w:t>
      </w:r>
      <w:r>
        <w:rPr>
          <w:rFonts w:hint="eastAsia" w:ascii="仿宋_GB2312" w:hAnsi="仿宋_GB2312" w:eastAsia="仿宋_GB2312" w:cs="仿宋_GB2312"/>
          <w:i w:val="0"/>
          <w:iCs w:val="0"/>
          <w:caps w:val="0"/>
          <w:color w:val="auto"/>
          <w:spacing w:val="2"/>
          <w:sz w:val="32"/>
          <w:szCs w:val="32"/>
          <w:shd w:val="clear" w:fill="FFFFFF"/>
          <w:lang w:eastAsia="zh-CN"/>
        </w:rPr>
        <w:t>家养殖场污染，环保投诉立案率100%，群众安全感持续提升；</w:t>
      </w: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三是安全发展底线更加坚实。</w:t>
      </w:r>
      <w:r>
        <w:rPr>
          <w:rFonts w:hint="eastAsia" w:ascii="仿宋_GB2312" w:hAnsi="仿宋_GB2312" w:eastAsia="仿宋_GB2312" w:cs="仿宋_GB2312"/>
          <w:color w:val="auto"/>
          <w:sz w:val="32"/>
          <w:szCs w:val="32"/>
          <w:lang w:val="en-US" w:eastAsia="zh-CN"/>
        </w:rPr>
        <w:t>2021年至今，开展食品安全宣传、巡查4500次，实现“两个责任”包保覆盖率、督导整改率“双百”（问题发现2196个，整改率100%）。</w:t>
      </w:r>
    </w:p>
    <w:p w14:paraId="1E02D7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基层党建成效显著</w:t>
      </w:r>
    </w:p>
    <w:p w14:paraId="1395669E">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eastAsia" w:ascii="仿宋_GB2312" w:hAnsi="仿宋_GB2312" w:eastAsia="仿宋_GB2312" w:cs="仿宋_GB2312"/>
          <w:b w:val="0"/>
          <w:bCs w:val="0"/>
          <w:snapToGrid w:val="0"/>
          <w:color w:val="auto"/>
          <w:kern w:val="0"/>
          <w:sz w:val="32"/>
          <w:lang w:val="en-US" w:eastAsia="zh-CN"/>
        </w:rPr>
      </w:pPr>
      <w:r>
        <w:rPr>
          <w:rFonts w:hint="eastAsia" w:ascii="楷体_GB2312" w:hAnsi="楷体_GB2312" w:eastAsia="楷体_GB2312" w:cs="楷体_GB2312"/>
          <w:b/>
          <w:bCs/>
          <w:sz w:val="32"/>
          <w:szCs w:val="32"/>
          <w:lang w:val="en-US" w:eastAsia="zh-CN"/>
        </w:rPr>
        <w:t>一是不断强化理论学习</w:t>
      </w:r>
      <w:r>
        <w:rPr>
          <w:rFonts w:hint="eastAsia" w:ascii="仿宋_GB2312" w:hAnsi="仿宋_GB2312" w:eastAsia="仿宋_GB2312" w:cs="仿宋_GB2312"/>
          <w:b/>
          <w:bCs/>
          <w:sz w:val="32"/>
          <w:szCs w:val="32"/>
          <w:lang w:val="en-US" w:eastAsia="zh-CN"/>
        </w:rPr>
        <w:t>，筑牢政治忠诚</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sz w:val="32"/>
          <w:szCs w:val="32"/>
          <w:lang w:val="en-US" w:eastAsia="zh-CN"/>
        </w:rPr>
        <w:t>自2021年以来，扎实开展各类专题学习教育、深入学习党的十九大及十九届历次全会精神和党的二十大精神及二十届历次全会精神。充分运用好各种形式和手段做好宣传教育工作。</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同时创新开展青年夜校、“走基层行动月”活动，不断提高党员干部的政治素养和理论水平；</w:t>
      </w:r>
      <w:r>
        <w:rPr>
          <w:rFonts w:hint="eastAsia" w:ascii="仿宋_GB2312" w:hAnsi="仿宋_GB2312" w:eastAsia="仿宋_GB2312" w:cs="仿宋_GB2312"/>
          <w:b/>
          <w:bCs/>
          <w:sz w:val="32"/>
          <w:szCs w:val="32"/>
          <w:lang w:val="en-US" w:eastAsia="zh-CN"/>
        </w:rPr>
        <w:t>二是健全工作机制，强化基层组织建设。</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创新党建工作和考核机制，提升干部的工作积极性。推动“党建导师”制度、“导师帮带制”融入党建工作日常，每年选派20名党建导师对各村党组织、“两新”党支部开展理论联系实际的指导工作，2021年至今已开展两轮帮带村党组织书记工作；</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三是加强队伍建设，夯实基层党建阵地。</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2021年换届以来积极打造优秀干部队伍，镇领导班子队伍形成“合理年龄结构+优秀专业知识结构”，村“两委”干部班子成员高中及以上学历（含在读）人数共81人，占90%（较上届提高25.11%）。成功创建西岸镇、东村村、河田村为清远市农村基层党建示范镇、村，成功创建七村村、溪塘村、东江村、西岸村、石马村、马带村为清远市抓党建促乡村振兴示范村，形成了以示范村为核心带动西岸片区、冲口片区的连片示范效应；</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四是注重引“雁”归巢，打造人才队伍高地。</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制定了《西岸镇村党组织带头人后备力量培育储备工作方案》和培育方案，通过结对培育、集中学习、实践训练等措施对摸排的51名村党组织带头人培养锻炼，确保了后备储蓄力量；</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五是借助巡察契机，增强党风廉政建设。</w:t>
      </w:r>
      <w:r>
        <w:rPr>
          <w:rFonts w:hint="eastAsia" w:ascii="仿宋_GB2312" w:hAnsi="仿宋_GB2312" w:eastAsia="仿宋_GB2312" w:cs="仿宋_GB2312"/>
          <w:color w:val="auto"/>
          <w:sz w:val="32"/>
          <w:szCs w:val="32"/>
          <w:lang w:val="en-US" w:eastAsia="zh-CN"/>
        </w:rPr>
        <w:t>积极开展了</w:t>
      </w:r>
      <w:r>
        <w:rPr>
          <w:rFonts w:hint="eastAsia" w:ascii="仿宋_GB2312" w:hAnsi="仿宋_GB2312" w:eastAsia="仿宋_GB2312" w:cs="仿宋_GB2312"/>
          <w:b w:val="0"/>
          <w:bCs w:val="0"/>
          <w:caps w:val="0"/>
          <w:color w:val="auto"/>
          <w:spacing w:val="0"/>
          <w:sz w:val="32"/>
          <w:szCs w:val="32"/>
          <w:u w:val="none"/>
          <w:lang w:val="en-US" w:eastAsia="zh-CN"/>
        </w:rPr>
        <w:t>拆旧复垦和农村集体“三资”监管专项巡察、</w:t>
      </w:r>
      <w:r>
        <w:rPr>
          <w:rFonts w:hint="eastAsia" w:ascii="仿宋_GB2312" w:hAnsi="仿宋_GB2312" w:eastAsia="仿宋_GB2312" w:cs="仿宋_GB2312"/>
          <w:b w:val="0"/>
          <w:bCs w:val="0"/>
          <w:snapToGrid w:val="0"/>
          <w:color w:val="auto"/>
          <w:kern w:val="0"/>
          <w:sz w:val="32"/>
          <w:lang w:val="en-US" w:eastAsia="zh-CN"/>
        </w:rPr>
        <w:t>十四届连州市委第三轮巡察、</w:t>
      </w:r>
      <w:r>
        <w:rPr>
          <w:rFonts w:hint="eastAsia" w:ascii="仿宋_GB2312" w:hAnsi="仿宋_GB2312" w:eastAsia="仿宋_GB2312" w:cs="仿宋_GB2312"/>
          <w:b w:val="0"/>
          <w:bCs w:val="0"/>
          <w:caps w:val="0"/>
          <w:color w:val="auto"/>
          <w:spacing w:val="0"/>
          <w:sz w:val="32"/>
          <w:szCs w:val="32"/>
          <w:u w:val="none"/>
          <w:lang w:val="en-US" w:eastAsia="zh-CN"/>
        </w:rPr>
        <w:t>清远市委第四巡察组对西岸镇党委提级巡察</w:t>
      </w:r>
      <w:r>
        <w:rPr>
          <w:rFonts w:hint="eastAsia" w:ascii="仿宋_GB2312" w:hAnsi="仿宋_GB2312" w:eastAsia="仿宋_GB2312" w:cs="仿宋_GB2312"/>
          <w:color w:val="auto"/>
          <w:sz w:val="32"/>
          <w:szCs w:val="32"/>
          <w:lang w:val="en-US" w:eastAsia="zh-CN"/>
        </w:rPr>
        <w:t>三项巡察整改工作，其中已完成整改事项80个，阶段性完成整改事项85个，立案12件，给予党纪政务处分9人次，挽回经济损失21.335万元。</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六是聚焦问题难点，扎实开展软弱涣散村党组织整顿工作。</w:t>
      </w:r>
      <w:r>
        <w:rPr>
          <w:rFonts w:hint="eastAsia" w:ascii="仿宋_GB2312" w:hAnsi="仿宋_GB2312" w:eastAsia="仿宋_GB2312" w:cs="仿宋_GB2312"/>
          <w:b w:val="0"/>
          <w:bCs w:val="0"/>
          <w:snapToGrid w:val="0"/>
          <w:color w:val="auto"/>
          <w:kern w:val="0"/>
          <w:sz w:val="32"/>
          <w:lang w:val="en-US" w:eastAsia="zh-CN"/>
        </w:rPr>
        <w:t>一是2023年我镇石兰村党总支部因阵地设施落后且无固定党员活动阵地被列为弱涣散村党组织，我镇制定整顿工作机制，利用原石兰村小学教学楼改造成党群服务中心和党群活动中心，完善石兰村党总支部党建阵地，有效完成软弱涣散村的整顿工作。二是2025年6月三水村因村干部严重违纪违法，存在侵害群众利益的不正之风和腐败等问题被确定为软弱涣散村党组织。我镇坚持问题导向，通过开展警示教育、谈心谈话、原卫生健康员补选为村“两委”干部等措施，强化三水村“两委”干部队伍建设，“对症下药”落实整顿工作。</w:t>
      </w:r>
    </w:p>
    <w:p w14:paraId="461F9181">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存在主要问题和困难</w:t>
      </w:r>
    </w:p>
    <w:p w14:paraId="36E5177D">
      <w:pPr>
        <w:keepNext w:val="0"/>
        <w:keepLines w:val="0"/>
        <w:pageBreakBefore w:val="0"/>
        <w:kinsoku/>
        <w:wordWrap/>
        <w:overflowPunct/>
        <w:topLinePunct w:val="0"/>
        <w:autoSpaceDE/>
        <w:autoSpaceDN/>
        <w:bidi w:val="0"/>
        <w:spacing w:line="640" w:lineRule="exact"/>
        <w:ind w:firstLine="643"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Times New Roman"/>
          <w:b/>
          <w:bCs/>
          <w:sz w:val="32"/>
          <w:szCs w:val="32"/>
          <w:lang w:eastAsia="zh-CN"/>
        </w:rPr>
        <w:t>一</w:t>
      </w:r>
      <w:r>
        <w:rPr>
          <w:rFonts w:hint="eastAsia" w:ascii="仿宋_GB2312" w:hAnsi="仿宋_GB2312" w:eastAsia="仿宋_GB2312" w:cs="Times New Roman"/>
          <w:b/>
          <w:bCs/>
          <w:sz w:val="32"/>
          <w:szCs w:val="32"/>
          <w:lang w:val="en-US" w:eastAsia="zh-CN"/>
        </w:rPr>
        <w:t>是</w:t>
      </w:r>
      <w:r>
        <w:rPr>
          <w:rFonts w:hint="eastAsia" w:ascii="仿宋_GB2312" w:hAnsi="仿宋_GB2312" w:eastAsia="仿宋_GB2312" w:cs="仿宋_GB2312"/>
          <w:sz w:val="32"/>
          <w:szCs w:val="32"/>
          <w:lang w:val="en-US" w:eastAsia="zh-CN"/>
        </w:rPr>
        <w:t>产业基础还很薄弱，农业经营主体规模小、数量少，生产经营方式落后，产业链条短，农产品深加工还没有破题；</w:t>
      </w:r>
      <w:r>
        <w:rPr>
          <w:rFonts w:hint="eastAsia" w:ascii="仿宋_GB2312" w:hAnsi="仿宋_GB2312" w:eastAsia="仿宋_GB2312" w:cs="Times New Roman"/>
          <w:b/>
          <w:bCs/>
          <w:sz w:val="32"/>
          <w:szCs w:val="32"/>
          <w:lang w:val="en-US" w:eastAsia="zh-CN"/>
        </w:rPr>
        <w:t>二是</w:t>
      </w:r>
      <w:r>
        <w:rPr>
          <w:rFonts w:hint="eastAsia" w:ascii="仿宋_GB2312" w:hAnsi="仿宋_GB2312" w:eastAsia="仿宋_GB2312" w:cs="仿宋_GB2312"/>
          <w:sz w:val="32"/>
          <w:szCs w:val="32"/>
          <w:lang w:val="en-US" w:eastAsia="zh-CN"/>
        </w:rPr>
        <w:t>工业一穷二白，要素保障缺失；</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镇域商业氛围差，消费能力较低，营商环境有待提高旅游业整装再出发，运营能力水平还有待市场检验；</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财政保障压力大，镇级财力完全依靠上级拨款，开源空间窄。支出压力与日俱增，收支矛盾日益凸显；</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村集体收入还不高，村级事权过多依靠镇财力保障；</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sz w:val="32"/>
          <w:szCs w:val="32"/>
          <w:lang w:val="en-US" w:eastAsia="zh-CN"/>
        </w:rPr>
        <w:t>干部工作作风有待提升，群众工作能力不强，工作主动性较差，工作规范性有待提高。</w:t>
      </w:r>
    </w:p>
    <w:p w14:paraId="46662974">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“十五五”工作部署</w:t>
      </w:r>
    </w:p>
    <w:p w14:paraId="011696F6">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（一）工作思路</w:t>
      </w:r>
    </w:p>
    <w:p w14:paraId="1491267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全面贯彻习近平总书记视察广东重要讲话、重要指示精神，贯彻落实中央经济工作会议和省委、清远市委、连州市委全会精神，以“百千万工程”建设为统揽，补短板、强弱项，加快镇、村面貌提升；强招引、强培育，不断构建产业体系；抓重点、解难题，推动民生事业发展；强组织、转作风，发挥党建引领作用；抓安全、守底线，维护社会和谐稳定。用一个又一个的项目、一件接一件的实事，推动西岸镇经济社会全面进步、全面发展。</w:t>
      </w:r>
    </w:p>
    <w:p w14:paraId="1BC502D5">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（二）发展目标</w:t>
      </w:r>
    </w:p>
    <w:p w14:paraId="4B8A10AD">
      <w:pPr>
        <w:pStyle w:val="6"/>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left"/>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kern w:val="2"/>
          <w:sz w:val="32"/>
          <w:szCs w:val="32"/>
          <w:lang w:val="en-US" w:eastAsia="zh-CN"/>
        </w:rPr>
        <w:t>1.聚焦</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百千万工程</w:t>
      </w:r>
      <w:r>
        <w:rPr>
          <w:rFonts w:hint="eastAsia" w:ascii="楷体_GB2312" w:hAnsi="楷体_GB2312" w:eastAsia="楷体_GB2312" w:cs="楷体_GB2312"/>
          <w:b/>
          <w:bCs/>
          <w:color w:val="auto"/>
          <w:sz w:val="32"/>
          <w:szCs w:val="32"/>
          <w:lang w:eastAsia="zh-CN"/>
        </w:rPr>
        <w:t>”，提升高质量发展质效</w:t>
      </w:r>
    </w:p>
    <w:p w14:paraId="371D09E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default"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shd w:val="clear" w:color="auto" w:fill="FFFFFF"/>
          <w:lang w:val="en-US" w:eastAsia="zh-CN"/>
          <w14:textFill>
            <w14:solidFill>
              <w14:schemeClr w14:val="tx1"/>
            </w14:solidFill>
          </w14:textFill>
        </w:rPr>
        <w:t>一是深化典型镇村示范效应。</w:t>
      </w:r>
      <w:r>
        <w:rPr>
          <w:rFonts w:hint="eastAsia" w:ascii="仿宋_GB2312" w:hAnsi="仿宋_GB2312" w:eastAsia="仿宋_GB2312" w:cs="仿宋_GB2312"/>
          <w:sz w:val="32"/>
          <w:szCs w:val="32"/>
          <w:lang w:val="en-US" w:eastAsia="zh-CN"/>
        </w:rPr>
        <w:t>以“十四五”期间创建的一镇七村典型为基础，争取更多资金，构建“全域辐射、整镇推进”模式，力争“十五五”期内14个行政村全面建设成宜居宜业和美乡村，实现“一年开局起步、三年初见成效、五年显著变化、十年根本改变”总体要求。</w:t>
      </w:r>
      <w:r>
        <w:rPr>
          <w:rFonts w:hint="eastAsia" w:ascii="仿宋_GB2312" w:hAnsi="仿宋_GB2312" w:eastAsia="仿宋_GB2312" w:cs="仿宋_GB2312"/>
          <w:b/>
          <w:bCs/>
          <w:color w:val="000000" w:themeColor="text1"/>
          <w:kern w:val="0"/>
          <w:sz w:val="32"/>
          <w:szCs w:val="32"/>
          <w:highlight w:val="none"/>
          <w:shd w:val="clear" w:color="auto" w:fill="FFFFFF"/>
          <w:lang w:val="en-US" w:eastAsia="zh-CN"/>
          <w14:textFill>
            <w14:solidFill>
              <w14:schemeClr w14:val="tx1"/>
            </w14:solidFill>
          </w14:textFill>
        </w:rPr>
        <w:t>二是持续提升镇域发展能级。</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加强招商引资，持续推进</w:t>
      </w:r>
      <w:r>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CN"/>
          <w14:textFill>
            <w14:solidFill>
              <w14:schemeClr w14:val="tx1"/>
            </w14:solidFill>
          </w14:textFill>
        </w:rPr>
        <w:t>24亩“乐居计划”、加油站项目</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及观音山民宿项目，持续增强镇域发展动能。</w:t>
      </w:r>
      <w:r>
        <w:rPr>
          <w:rFonts w:hint="eastAsia" w:ascii="仿宋_GB2312" w:hAnsi="仿宋_GB2312" w:eastAsia="仿宋_GB2312" w:cs="仿宋_GB2312"/>
          <w:b/>
          <w:bCs/>
          <w:color w:val="000000" w:themeColor="text1"/>
          <w:kern w:val="0"/>
          <w:sz w:val="32"/>
          <w:szCs w:val="32"/>
          <w:highlight w:val="none"/>
          <w:shd w:val="clear" w:color="auto" w:fill="FFFFFF"/>
          <w:lang w:val="en-US" w:eastAsia="zh-CN"/>
          <w14:textFill>
            <w14:solidFill>
              <w14:schemeClr w14:val="tx1"/>
            </w14:solidFill>
          </w14:textFill>
        </w:rPr>
        <w:t>三是构建高铁经济新格局。</w:t>
      </w:r>
      <w:r>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CN"/>
          <w14:textFill>
            <w14:solidFill>
              <w14:schemeClr w14:val="tx1"/>
            </w14:solidFill>
          </w14:textFill>
        </w:rPr>
        <w:t>积极推进广清永高铁国家级重点项目落实，抢</w:t>
      </w:r>
      <w:r>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t>抓高铁建设重大机遇，谋划“枢纽经济+城乡融合”新增长极。以高铁辐射区为核心，不断强化招商引资，积极发展轻工业、文旅产业、特色农业及农产品加工业，带动产业经济升级，打造山区强镇“高铁经济”示范样板。</w:t>
      </w:r>
    </w:p>
    <w:p w14:paraId="32233DAB">
      <w:pPr>
        <w:pStyle w:val="6"/>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left"/>
        <w:textAlignment w:val="auto"/>
        <w:rPr>
          <w:rFonts w:hint="eastAsia" w:ascii="楷体_GB2312" w:hAnsi="楷体_GB2312" w:eastAsia="楷体_GB2312" w:cs="楷体_GB2312"/>
          <w:b/>
          <w:bCs/>
          <w:color w:val="auto"/>
          <w:kern w:val="2"/>
          <w:sz w:val="32"/>
          <w:szCs w:val="32"/>
          <w:lang w:val="en-US" w:eastAsia="zh-CN"/>
        </w:rPr>
      </w:pPr>
      <w:r>
        <w:rPr>
          <w:rFonts w:hint="eastAsia" w:ascii="楷体_GB2312" w:hAnsi="楷体_GB2312" w:eastAsia="楷体_GB2312" w:cs="楷体_GB2312"/>
          <w:b/>
          <w:bCs/>
          <w:color w:val="auto"/>
          <w:kern w:val="2"/>
          <w:sz w:val="32"/>
          <w:szCs w:val="32"/>
          <w:lang w:val="en-US" w:eastAsia="zh-CN"/>
        </w:rPr>
        <w:t>2.聚焦产业培育，助推镇域高质量发展</w:t>
      </w:r>
    </w:p>
    <w:p w14:paraId="6327B7C6">
      <w:pPr>
        <w:pStyle w:val="6"/>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left"/>
        <w:textAlignment w:val="auto"/>
        <w:rPr>
          <w:rFonts w:hint="eastAsia" w:ascii="仿宋_GB2312" w:hAnsi="仿宋_GB2312" w:eastAsia="仿宋_GB2312" w:cs="仿宋_GB2312"/>
          <w:color w:val="000000" w:themeColor="text1"/>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auto"/>
          <w:kern w:val="2"/>
          <w:sz w:val="32"/>
          <w:szCs w:val="32"/>
          <w:highlight w:val="none"/>
          <w:lang w:val="en-US" w:eastAsia="zh-CN" w:bidi="ar-SA"/>
        </w:rPr>
        <w:t>一是致力打造农业产业专业强镇。</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依托连州菜心“12221”营销体系，创新实施“政企农”联动销售模式，携手全国连锁商超，</w:t>
      </w:r>
      <w:r>
        <w:rPr>
          <w:rFonts w:hint="eastAsia" w:ascii="仿宋_GB2312" w:hAnsi="仿宋_GB2312" w:eastAsia="仿宋_GB2312" w:cs="仿宋_GB2312"/>
          <w:color w:val="auto"/>
          <w:sz w:val="32"/>
          <w:szCs w:val="32"/>
          <w:lang w:val="en-US" w:eastAsia="zh-CN"/>
        </w:rPr>
        <w:t>致力推动“连州菜心”走向全国。</w:t>
      </w:r>
      <w:r>
        <w:rPr>
          <w:rFonts w:hint="eastAsia" w:ascii="仿宋_GB2312" w:hAnsi="仿宋_GB2312" w:eastAsia="仿宋_GB2312" w:cs="仿宋_GB2312"/>
          <w:sz w:val="32"/>
          <w:szCs w:val="32"/>
          <w:lang w:val="en-US" w:eastAsia="zh-CN"/>
        </w:rPr>
        <w:t>支持连正、丰源等现有农业龙头企业做大做强，充分发挥“连州菜心”“丝苗米”品牌优势，用好用活道班闲置地块，盘活粮仓等闲置资产，建设农产品加工基地，延长产业链，不断提升农产品附加值。依托全域土地综合整治契机，加大土地整合力度，争取培育2到3家具备一定规模的家庭农场和农业合作社。充分发挥西岸山林多、林地面积大的优势，争取引入林下经济和中草药种植企业，大力发展林下经济。充分调动在外乡贤的力量，引入劳动密集型产业发展。争取黄埔帮扶的力量支持，计划投资1000万，全面推动设施农业、特色农业发展，做大做强黄埔——西岸生态产业基地。</w:t>
      </w:r>
    </w:p>
    <w:p w14:paraId="74159F6C">
      <w:pPr>
        <w:pStyle w:val="6"/>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二是激活文旅产业发展动能。</w:t>
      </w:r>
      <w:r>
        <w:rPr>
          <w:rFonts w:hint="eastAsia" w:ascii="仿宋_GB2312" w:hAnsi="仿宋_GB2312" w:eastAsia="仿宋_GB2312" w:cs="仿宋_GB2312"/>
          <w:b w:val="0"/>
          <w:bCs w:val="0"/>
          <w:color w:val="auto"/>
          <w:sz w:val="32"/>
          <w:szCs w:val="32"/>
          <w:lang w:val="en-US" w:eastAsia="zh-CN"/>
        </w:rPr>
        <w:t>持续抓好禾·悦生态旅游景区项目建设。</w:t>
      </w:r>
      <w:r>
        <w:rPr>
          <w:rFonts w:hint="eastAsia" w:ascii="仿宋_GB2312" w:hAnsi="仿宋_GB2312" w:eastAsia="仿宋_GB2312" w:cs="仿宋_GB2312"/>
          <w:b w:val="0"/>
          <w:bCs w:val="0"/>
          <w:sz w:val="32"/>
          <w:szCs w:val="32"/>
          <w:lang w:val="en-US" w:eastAsia="zh-CN"/>
        </w:rPr>
        <w:t>依托东村丰厚文旅资源对现有古建筑保护修缮，建设民宿区、民俗街区、文化街区、餐饮街区、商业街区、特色街区，不断探索“古村落+”融合发展模式，致力将西岸打造成省级古村落连片保护示范样板。继续办好端午赛龙舟、“村”BA、“乡村大力王”拔河争霸赛等民俗活动，多渠道弘扬西岸传统民俗文化，不断增强西岸镇知名度和美誉度，吸引更多外来游客汇聚西岸。</w:t>
      </w:r>
    </w:p>
    <w:p w14:paraId="1EABCD1F">
      <w:pPr>
        <w:pStyle w:val="6"/>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left"/>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3.</w:t>
      </w:r>
      <w:r>
        <w:rPr>
          <w:rFonts w:hint="eastAsia" w:ascii="楷体_GB2312" w:hAnsi="楷体_GB2312" w:eastAsia="楷体_GB2312" w:cs="楷体_GB2312"/>
          <w:b/>
          <w:bCs/>
          <w:color w:val="auto"/>
          <w:sz w:val="32"/>
          <w:szCs w:val="32"/>
          <w:lang w:eastAsia="zh-CN"/>
        </w:rPr>
        <w:t>聚焦民生改善，彰显高质量发展成色</w:t>
      </w:r>
    </w:p>
    <w:p w14:paraId="2EED1E6F">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一是补齐民生短板。</w:t>
      </w:r>
      <w:r>
        <w:rPr>
          <w:rFonts w:hint="eastAsia" w:ascii="仿宋_GB2312" w:hAnsi="仿宋_GB2312" w:eastAsia="仿宋_GB2312" w:cs="仿宋_GB2312"/>
          <w:b w:val="0"/>
          <w:bCs w:val="0"/>
          <w:sz w:val="32"/>
          <w:szCs w:val="32"/>
          <w:lang w:val="en-US" w:eastAsia="zh-CN"/>
        </w:rPr>
        <w:t>持续抓好西岸镇综合养老服务网络建设项目，为老年人提供智慧养老、长者饭堂、日间照料、临时托养、家政养老上门服务、医疗保健、康复护理、文化娱乐、精神慰藉、紧急援助等服务，并配套相应设施设备。逐步缓解服务供给与需求之间的矛盾，强化精神慰藉与社交活动，满足老年人的多样化需求，提高其生活质量；持续提高西岸镇社区康园中心服务质量，联合市人力资源保障部门和残联部门，积极开展残疾人就业技能培训以及招聘会，通过落实优惠政策、提供直接援助等措施提高就业率。</w:t>
      </w:r>
    </w:p>
    <w:p w14:paraId="6F8DCD97">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二是抓实教育事业。</w:t>
      </w:r>
      <w:r>
        <w:rPr>
          <w:rFonts w:hint="eastAsia" w:ascii="仿宋_GB2312" w:hAnsi="仿宋_GB2312" w:eastAsia="仿宋_GB2312" w:cs="仿宋_GB2312"/>
          <w:b w:val="0"/>
          <w:bCs w:val="0"/>
          <w:sz w:val="32"/>
          <w:szCs w:val="32"/>
          <w:lang w:val="en-US" w:eastAsia="zh-CN"/>
        </w:rPr>
        <w:t>适度加大教育投入，推动西岸镇中心学校、清水中学与黄埔区相关学校结对帮扶，制定《推进西岸镇教育高质量发展三年行动计划》，加强教师培养，提升教学质量，力争用三年时间，促使西岸镇各学校总体成绩明显提升，不断提升乡镇办学质量和水平。建立健全救灾救济应急预案机制，预防特大自然灾害的发生，进一步增强对自然灾害抗御能力，提高救济水平。</w:t>
      </w:r>
    </w:p>
    <w:p w14:paraId="1EF5B42B">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三是完善社会保障。</w:t>
      </w:r>
      <w:r>
        <w:rPr>
          <w:rFonts w:hint="eastAsia" w:ascii="仿宋_GB2312" w:hAnsi="仿宋_GB2312" w:eastAsia="仿宋_GB2312" w:cs="仿宋_GB2312"/>
          <w:b w:val="0"/>
          <w:bCs w:val="0"/>
          <w:sz w:val="32"/>
          <w:szCs w:val="32"/>
          <w:lang w:val="en-US" w:eastAsia="zh-CN"/>
        </w:rPr>
        <w:t>坚持以人为本、为民解困的宗旨，严格执行个人申请、镇人民政府审核公示、市民政局审批等程序，将符合条件的困难群众纳入社会救助范围，努力做到应保尽保，应退尽退。全方位开展困难群众救助工作。在落实最低生活保障制度的同时，做好冬令春荒的救助工作，及时发放救灾物资。针对个别家庭因病或突发事故而造成困难的情况，进行临时困难救助。全力推动城乡居民养老保险和城乡居民医疗保险工作，做到应保尽保。</w:t>
      </w:r>
    </w:p>
    <w:p w14:paraId="134A8BD0">
      <w:pPr>
        <w:pStyle w:val="6"/>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left"/>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4.</w:t>
      </w:r>
      <w:r>
        <w:rPr>
          <w:rFonts w:hint="eastAsia" w:ascii="楷体_GB2312" w:hAnsi="楷体_GB2312" w:eastAsia="楷体_GB2312" w:cs="楷体_GB2312"/>
          <w:b/>
          <w:bCs/>
          <w:color w:val="auto"/>
          <w:sz w:val="32"/>
          <w:szCs w:val="32"/>
          <w:lang w:eastAsia="zh-CN"/>
        </w:rPr>
        <w:t>聚焦平安稳定，夯实高质量发展基础</w:t>
      </w:r>
    </w:p>
    <w:p w14:paraId="284FDDDA">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一是完善基层社会治理体系。</w:t>
      </w:r>
      <w:r>
        <w:rPr>
          <w:rFonts w:hint="eastAsia" w:ascii="仿宋_GB2312" w:hAnsi="仿宋_GB2312" w:eastAsia="仿宋_GB2312" w:cs="仿宋_GB2312"/>
          <w:b w:val="0"/>
          <w:bCs w:val="0"/>
          <w:sz w:val="32"/>
          <w:szCs w:val="32"/>
          <w:lang w:val="en-US" w:eastAsia="zh-CN"/>
        </w:rPr>
        <w:t>加大力度打击各类违法犯罪事件，对赌、毒问题重拳出击，做到零容忍。要强化人防+技防，一方面完善网格员+信息员机制，通过调配人员、社会聘请等方式建立专职网格员队伍。切实减轻兼职网格员（村干部兼任）工作压力。进一步加大宣传发动力度，继续壮大信息员队伍，以“人人都是信息员”为目标，不断拓宽网格员收集信息和信息员报送信息渠道；另一方面要强化智慧镇村建设，要求各企事业单位要认真落实内部安全、消防管理制度。加强“雪亮工程”建设，利用现代科技手段，提高视频监控的覆盖率和智能化水平，实现对社会治安的全方位、全天候监控。</w:t>
      </w:r>
      <w:r>
        <w:rPr>
          <w:rFonts w:hint="eastAsia" w:ascii="仿宋_GB2312" w:hAnsi="仿宋_GB2312" w:eastAsia="仿宋_GB2312" w:cs="仿宋_GB2312"/>
          <w:b w:val="0"/>
          <w:bCs w:val="0"/>
          <w:sz w:val="32"/>
          <w:szCs w:val="32"/>
          <w:highlight w:val="none"/>
          <w:lang w:val="en-US" w:eastAsia="zh-CN"/>
        </w:rPr>
        <w:t>用好小城镇项目资金，加快推进派出所及阳光小站搬迁改造项目。</w:t>
      </w:r>
    </w:p>
    <w:p w14:paraId="38484188">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二是高度重视未成年人违法犯罪预防工作。</w:t>
      </w:r>
      <w:r>
        <w:rPr>
          <w:rFonts w:hint="eastAsia" w:ascii="仿宋_GB2312" w:hAnsi="仿宋_GB2312" w:eastAsia="仿宋_GB2312" w:cs="仿宋_GB2312"/>
          <w:b w:val="0"/>
          <w:bCs w:val="0"/>
          <w:sz w:val="32"/>
          <w:szCs w:val="32"/>
          <w:lang w:val="en-US" w:eastAsia="zh-CN"/>
        </w:rPr>
        <w:t>坚决贯彻最有利于未成年人原则，提升西岸镇预防和治理未成年人违法犯罪工作的专业化和规范化水平，精准帮教罪错未成年人，精准救助未成年被害人，最大限度预防未成年人违法犯罪及保护未成年人权益免受侵害。加强八类重点青少年群体帮扶管理，强化学校、社会、家庭良性互动，促进青少年健康成长。</w:t>
      </w:r>
    </w:p>
    <w:p w14:paraId="4A65D5BF">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三是深入推进社会矛盾化解。</w:t>
      </w:r>
      <w:r>
        <w:rPr>
          <w:rFonts w:hint="eastAsia" w:ascii="仿宋_GB2312" w:hAnsi="仿宋_GB2312" w:eastAsia="仿宋_GB2312" w:cs="仿宋_GB2312"/>
          <w:b w:val="0"/>
          <w:bCs w:val="0"/>
          <w:sz w:val="32"/>
          <w:szCs w:val="32"/>
          <w:lang w:val="en-US" w:eastAsia="zh-CN"/>
        </w:rPr>
        <w:t>要充分发挥镇综治中心作用，严格对照“1+6+N”基层社会治理工作体系要求，结合西岸镇农业大镇及连州菜心基地实际，创新工作思路，整合综治办、派出所、司法所、自然资源所、农办等站所部分职能，依托西岸镇人民调解委员会打造农业类纠纷“菜心”品牌调解室；加强社会风险隐患排查化解，积极培育金牌调解员，加强对重点人、重点事、重点场所管理，综合施策，确保“小事不出村，大事不出镇”；持续加强执法规范化建设，强化执法队伍培养，持续提高执法能力水平。</w:t>
      </w:r>
    </w:p>
    <w:p w14:paraId="20BCCE29">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四是强化安全管理和监督。</w:t>
      </w:r>
      <w:r>
        <w:rPr>
          <w:rFonts w:hint="eastAsia" w:ascii="仿宋_GB2312" w:hAnsi="仿宋_GB2312" w:eastAsia="仿宋_GB2312" w:cs="仿宋_GB2312"/>
          <w:b w:val="0"/>
          <w:bCs w:val="0"/>
          <w:sz w:val="32"/>
          <w:szCs w:val="32"/>
          <w:lang w:val="en-US" w:eastAsia="zh-CN"/>
        </w:rPr>
        <w:t>压实驻村团队和村委责任，加强土地巡查，守住耕地红线，常态化开展安全生产治本攻坚行动，切实抓好防汛抗旱、森林防灭火、地质灾害防治、农村自建房安全、道路交通安全、消防安全等工作，有效预防和坚决遏制重大安全事故。开展食品安全专项整治，守护人民群众舌尖上的安全。切实做好突发自然灾害防范应对工作，及时查漏补缺，健全完善应急预案和响应机制，提高应对自然灾害能力。</w:t>
      </w:r>
    </w:p>
    <w:p w14:paraId="69A2202E">
      <w:pPr>
        <w:pStyle w:val="6"/>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left"/>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5.</w:t>
      </w:r>
      <w:r>
        <w:rPr>
          <w:rFonts w:hint="eastAsia" w:ascii="楷体_GB2312" w:hAnsi="楷体_GB2312" w:eastAsia="楷体_GB2312" w:cs="楷体_GB2312"/>
          <w:b/>
          <w:bCs/>
          <w:color w:val="auto"/>
          <w:sz w:val="32"/>
          <w:szCs w:val="32"/>
          <w:lang w:eastAsia="zh-CN"/>
        </w:rPr>
        <w:t>聚焦党的建设，增强高质量发展后劲</w:t>
      </w:r>
    </w:p>
    <w:p w14:paraId="196979D5">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始终加强基层党的建设，发挥党建引领作用。要加强基层组织建设，瞄准换届需求，加大力度培养后备梯队。着眼2026年村“两委”换届工作，围绕抓严人选标准、抓细工作要求、抓实风险排查等重点环节，以严谨细致的作风确保换届平安稳定。要发挥镇党校的作用，配强师资、强化资金保障，常态化举办“青年夜校”“村干部小课堂”等活动，提升干部的党性修养和能力水平。要加强规范建设，严格工作闭环管理，在“细”“严”“快”三字上下功夫，提升工作的规范化水平。要加强青年干部培养，搭建平台，实践锤炼，积极向市委推荐优秀后备干部。要加强作风建设，严格驻村工作，发扬“铁脚板”精神，推动干部走村入户，掌握基层实情，密切干群关系。要严格驻镇工作，强化日常考勤管理。要加强案件查办，重点查处拆旧复垦、工程建设、群众身边不正之风等违法违纪行为。要加强对村组长的教育管理，严格村务公开、村账镇管，堵塞机制漏洞。</w:t>
      </w:r>
    </w:p>
    <w:p w14:paraId="2190125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p>
    <w:p w14:paraId="263204C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p>
    <w:p w14:paraId="6DD2F3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连州市西岸镇人民政府</w:t>
      </w:r>
    </w:p>
    <w:p w14:paraId="63F2D01D">
      <w:pPr>
        <w:keepNext w:val="0"/>
        <w:keepLines w:val="0"/>
        <w:pageBreakBefore w:val="0"/>
        <w:widowControl w:val="0"/>
        <w:kinsoku/>
        <w:wordWrap w:val="0"/>
        <w:overflowPunct/>
        <w:topLinePunct w:val="0"/>
        <w:autoSpaceDE/>
        <w:autoSpaceDN/>
        <w:bidi w:val="0"/>
        <w:adjustRightInd/>
        <w:snapToGrid/>
        <w:spacing w:line="640" w:lineRule="exact"/>
        <w:ind w:firstLine="640" w:firstLineChars="200"/>
        <w:jc w:val="righ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2025年10月17日  </w:t>
      </w:r>
    </w:p>
    <w:p w14:paraId="69B18BBA"/>
    <w:p w14:paraId="0DE964DC">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lang w:val="en-US" w:eastAsia="zh-CN"/>
        </w:rPr>
      </w:pPr>
      <w:bookmarkStart w:id="2" w:name="_GoBack"/>
      <w:bookmarkEnd w:id="2"/>
    </w:p>
    <w:p w14:paraId="14A55A3B">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（联系人：成超，电话：18148779131）</w:t>
      </w:r>
    </w:p>
    <w:sectPr>
      <w:pgSz w:w="11906" w:h="16838"/>
      <w:pgMar w:top="1814"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07A65"/>
    <w:multiLevelType w:val="singleLevel"/>
    <w:tmpl w:val="EE007A6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B25B5"/>
    <w:rsid w:val="0CB37316"/>
    <w:rsid w:val="173B2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样式1"/>
    <w:basedOn w:val="7"/>
    <w:qFormat/>
    <w:uiPriority w:val="99"/>
    <w:rPr>
      <w:rFonts w:ascii="Times New Roman" w:eastAsia="宋体" w:cs="Times New Roman"/>
      <w:szCs w:val="20"/>
    </w:rPr>
  </w:style>
  <w:style w:type="paragraph" w:customStyle="1" w:styleId="7">
    <w:name w:val="正文1"/>
    <w:basedOn w:val="8"/>
    <w:qFormat/>
    <w:uiPriority w:val="99"/>
    <w:pPr>
      <w:ind w:firstLine="708" w:firstLineChars="236"/>
    </w:pPr>
    <w:rPr>
      <w:rFonts w:ascii="仿宋_GB2312" w:eastAsia="仿宋_GB2312" w:cs="仿宋_GB2312"/>
      <w:sz w:val="30"/>
      <w:szCs w:val="30"/>
    </w:rPr>
  </w:style>
  <w:style w:type="paragraph" w:customStyle="1" w:styleId="8">
    <w:name w:val="正文 New"/>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8319</Words>
  <Characters>8611</Characters>
  <Lines>0</Lines>
  <Paragraphs>0</Paragraphs>
  <TotalTime>12</TotalTime>
  <ScaleCrop>false</ScaleCrop>
  <LinksUpToDate>false</LinksUpToDate>
  <CharactersWithSpaces>8614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2025-10-22T08:02:00Z</dcterms:created>
  <dc:creator>C</dc:creator>
  <cp:lastModifiedBy>C</cp:lastModifiedBy>
  <cp:lastPrinted>2025-10-22T08:03:00Z</cp:lastPrinted>
  <dcterms:modified xsi:type="dcterms:W3CDTF">2025-10-23T00:56:33Z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0AC99C80468A4589A5B6DC7CCD8E897F_11</vt:lpwstr>
  </property>
  <property fmtid="{D5CDD505-2E9C-101B-9397-08002B2CF9AE}" pid="4" name="KSOTemplateDocerSaveRecord">
    <vt:lpwstr>eyJoZGlkIjoiNGFkOTRkMGY2N2I3MDRiY2VjNWI2NDMzMDJiNjI2ZjkiLCJ1c2VySWQiOiI2MTM3ODA2MTgifQ==</vt:lpwstr>
  </property>
</Properties>
</file>